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03" w:rsidRPr="00B861D3" w:rsidRDefault="00802703">
      <w:pPr>
        <w:spacing w:after="240"/>
        <w:rPr>
          <w:rFonts w:ascii="Arial" w:hAnsi="Arial" w:cs="Arial"/>
          <w:b/>
          <w:sz w:val="36"/>
        </w:rPr>
      </w:pPr>
      <w:r w:rsidRPr="00B861D3">
        <w:rPr>
          <w:rFonts w:ascii="Arial" w:hAnsi="Arial" w:cs="Arial"/>
          <w:b/>
          <w:sz w:val="36"/>
        </w:rPr>
        <w:t>FINANCIAL SERVICES GUIDE</w:t>
      </w:r>
    </w:p>
    <w:p w:rsidR="00802703" w:rsidRPr="00B861D3" w:rsidRDefault="00802703">
      <w:pPr>
        <w:spacing w:after="240"/>
        <w:rPr>
          <w:rFonts w:ascii="Arial" w:hAnsi="Arial" w:cs="Arial"/>
          <w:b/>
        </w:rPr>
      </w:pPr>
    </w:p>
    <w:p w:rsidR="00457611" w:rsidRDefault="00936A02">
      <w:pPr>
        <w:spacing w:after="240"/>
        <w:rPr>
          <w:rFonts w:ascii="Arial" w:hAnsi="Arial" w:cs="Arial"/>
          <w:b/>
        </w:rPr>
      </w:pPr>
      <w:r>
        <w:rPr>
          <w:rFonts w:ascii="Arial" w:hAnsi="Arial" w:cs="Arial"/>
          <w:b/>
        </w:rPr>
        <w:t>Date: 10 November 2014</w:t>
      </w:r>
    </w:p>
    <w:p w:rsidR="006A7212" w:rsidRDefault="00457611">
      <w:pPr>
        <w:spacing w:after="240"/>
        <w:rPr>
          <w:rFonts w:ascii="Arial" w:hAnsi="Arial" w:cs="Arial"/>
          <w:b/>
        </w:rPr>
      </w:pPr>
      <w:r>
        <w:rPr>
          <w:rFonts w:ascii="Arial" w:hAnsi="Arial" w:cs="Arial"/>
          <w:b/>
        </w:rPr>
        <w:t>Forager Funds Management Pty Ltd ABN 78 138 351 345</w:t>
      </w:r>
    </w:p>
    <w:p w:rsidR="00457611" w:rsidRPr="00B861D3" w:rsidRDefault="00457611">
      <w:pPr>
        <w:spacing w:after="240"/>
        <w:rPr>
          <w:rFonts w:ascii="Arial" w:hAnsi="Arial" w:cs="Arial"/>
          <w:b/>
        </w:rPr>
      </w:pPr>
      <w:r>
        <w:rPr>
          <w:rFonts w:ascii="Arial" w:hAnsi="Arial" w:cs="Arial"/>
          <w:b/>
        </w:rPr>
        <w:t>Australian Financial Services Licence no. 459312</w:t>
      </w:r>
    </w:p>
    <w:p w:rsidR="00457611" w:rsidRDefault="00A34D3E" w:rsidP="0012084A">
      <w:pPr>
        <w:spacing w:after="240"/>
        <w:rPr>
          <w:rFonts w:ascii="Arial" w:hAnsi="Arial" w:cs="Arial"/>
        </w:rPr>
      </w:pPr>
      <w:r>
        <w:rPr>
          <w:rFonts w:ascii="Arial" w:hAnsi="Arial" w:cs="Arial"/>
        </w:rPr>
        <w:pict>
          <v:rect id="_x0000_i1025" style="width:0;height:1.5pt" o:hralign="center" o:hrstd="t" o:hr="t" fillcolor="#a0a0a0" stroked="f"/>
        </w:pict>
      </w:r>
    </w:p>
    <w:p w:rsidR="0012084A" w:rsidRPr="00B861D3" w:rsidRDefault="0012084A" w:rsidP="0012084A">
      <w:pPr>
        <w:spacing w:after="240"/>
        <w:rPr>
          <w:rFonts w:ascii="Arial" w:hAnsi="Arial" w:cs="Arial"/>
        </w:rPr>
      </w:pPr>
      <w:r w:rsidRPr="00B861D3">
        <w:rPr>
          <w:rFonts w:ascii="Arial" w:hAnsi="Arial" w:cs="Arial"/>
        </w:rPr>
        <w:t>This Financial Services Guide (</w:t>
      </w:r>
      <w:r w:rsidRPr="00B861D3">
        <w:rPr>
          <w:rFonts w:ascii="Arial" w:hAnsi="Arial" w:cs="Arial"/>
          <w:b/>
          <w:i/>
        </w:rPr>
        <w:t>FSG</w:t>
      </w:r>
      <w:r w:rsidRPr="00B861D3">
        <w:rPr>
          <w:rFonts w:ascii="Arial" w:hAnsi="Arial" w:cs="Arial"/>
        </w:rPr>
        <w:t>) is an important doc</w:t>
      </w:r>
      <w:r w:rsidR="00B43DC7" w:rsidRPr="00B861D3">
        <w:rPr>
          <w:rFonts w:ascii="Arial" w:hAnsi="Arial" w:cs="Arial"/>
        </w:rPr>
        <w:t xml:space="preserve">ument. It is designed to help you decide </w:t>
      </w:r>
      <w:r w:rsidRPr="00B861D3">
        <w:rPr>
          <w:rFonts w:ascii="Arial" w:hAnsi="Arial" w:cs="Arial"/>
        </w:rPr>
        <w:t>whether to use any of the financial services or products offered by Forager Funds Management Pty Ltd ABN 78 138 351 345. As an Australian Financial Services Licensee (AFSL no. 459312) we are required to provide you with this FSG.</w:t>
      </w:r>
    </w:p>
    <w:p w:rsidR="0012084A" w:rsidRPr="00B861D3" w:rsidRDefault="0012084A" w:rsidP="0012084A">
      <w:pPr>
        <w:spacing w:after="240"/>
        <w:rPr>
          <w:rFonts w:ascii="Arial" w:hAnsi="Arial" w:cs="Arial"/>
        </w:rPr>
      </w:pPr>
      <w:r w:rsidRPr="00B861D3">
        <w:rPr>
          <w:rFonts w:ascii="Arial" w:hAnsi="Arial" w:cs="Arial"/>
        </w:rPr>
        <w:t>This FSG provides you with important information about:</w:t>
      </w:r>
    </w:p>
    <w:p w:rsidR="0012084A" w:rsidRPr="00B861D3" w:rsidRDefault="0012084A" w:rsidP="0012084A">
      <w:pPr>
        <w:pStyle w:val="ListParagraph"/>
        <w:numPr>
          <w:ilvl w:val="0"/>
          <w:numId w:val="11"/>
        </w:numPr>
        <w:spacing w:after="240"/>
        <w:rPr>
          <w:rFonts w:ascii="Arial" w:hAnsi="Arial" w:cs="Arial"/>
        </w:rPr>
      </w:pPr>
      <w:r w:rsidRPr="00B861D3">
        <w:rPr>
          <w:rFonts w:ascii="Arial" w:hAnsi="Arial" w:cs="Arial"/>
        </w:rPr>
        <w:t xml:space="preserve">How you can contact us, as well as our responsible entity, </w:t>
      </w:r>
      <w:proofErr w:type="spellStart"/>
      <w:r w:rsidRPr="00B861D3">
        <w:rPr>
          <w:rFonts w:ascii="Arial" w:hAnsi="Arial" w:cs="Arial"/>
        </w:rPr>
        <w:t>Fundhost</w:t>
      </w:r>
      <w:proofErr w:type="spellEnd"/>
      <w:r w:rsidRPr="00B861D3">
        <w:rPr>
          <w:rFonts w:ascii="Arial" w:hAnsi="Arial" w:cs="Arial"/>
        </w:rPr>
        <w:t xml:space="preserve"> Limited;</w:t>
      </w:r>
    </w:p>
    <w:p w:rsidR="0012084A" w:rsidRPr="00B861D3" w:rsidRDefault="0012084A" w:rsidP="0012084A">
      <w:pPr>
        <w:pStyle w:val="ListParagraph"/>
        <w:numPr>
          <w:ilvl w:val="0"/>
          <w:numId w:val="11"/>
        </w:numPr>
        <w:spacing w:after="240"/>
        <w:rPr>
          <w:rFonts w:ascii="Arial" w:hAnsi="Arial" w:cs="Arial"/>
        </w:rPr>
      </w:pPr>
      <w:r w:rsidRPr="00B861D3">
        <w:rPr>
          <w:rFonts w:ascii="Arial" w:hAnsi="Arial" w:cs="Arial"/>
        </w:rPr>
        <w:t>The types of services and products we can offer you;</w:t>
      </w:r>
    </w:p>
    <w:p w:rsidR="0012084A" w:rsidRPr="00B861D3" w:rsidRDefault="00DD47DB" w:rsidP="0012084A">
      <w:pPr>
        <w:pStyle w:val="ListParagraph"/>
        <w:numPr>
          <w:ilvl w:val="0"/>
          <w:numId w:val="11"/>
        </w:numPr>
        <w:spacing w:after="240"/>
        <w:rPr>
          <w:rFonts w:ascii="Arial" w:hAnsi="Arial" w:cs="Arial"/>
        </w:rPr>
      </w:pPr>
      <w:r w:rsidRPr="00B861D3">
        <w:rPr>
          <w:rFonts w:ascii="Arial" w:hAnsi="Arial" w:cs="Arial"/>
        </w:rPr>
        <w:t xml:space="preserve">How we </w:t>
      </w:r>
      <w:r w:rsidR="0012084A" w:rsidRPr="00B861D3">
        <w:rPr>
          <w:rFonts w:ascii="Arial" w:hAnsi="Arial" w:cs="Arial"/>
        </w:rPr>
        <w:t>are remunerated for these products and services;</w:t>
      </w:r>
    </w:p>
    <w:p w:rsidR="0012084A" w:rsidRPr="00B861D3" w:rsidRDefault="0012084A" w:rsidP="0012084A">
      <w:pPr>
        <w:pStyle w:val="ListParagraph"/>
        <w:numPr>
          <w:ilvl w:val="0"/>
          <w:numId w:val="11"/>
        </w:numPr>
        <w:spacing w:after="240"/>
        <w:rPr>
          <w:rFonts w:ascii="Arial" w:hAnsi="Arial" w:cs="Arial"/>
        </w:rPr>
      </w:pPr>
      <w:r w:rsidRPr="00B861D3">
        <w:rPr>
          <w:rFonts w:ascii="Arial" w:hAnsi="Arial" w:cs="Arial"/>
        </w:rPr>
        <w:t>How y</w:t>
      </w:r>
      <w:r w:rsidR="007C7893" w:rsidRPr="00B861D3">
        <w:rPr>
          <w:rFonts w:ascii="Arial" w:hAnsi="Arial" w:cs="Arial"/>
        </w:rPr>
        <w:t>ou can make a complaint</w:t>
      </w:r>
      <w:r w:rsidRPr="00B861D3">
        <w:rPr>
          <w:rFonts w:ascii="Arial" w:hAnsi="Arial" w:cs="Arial"/>
        </w:rPr>
        <w:t>.</w:t>
      </w:r>
    </w:p>
    <w:p w:rsidR="00802703" w:rsidRPr="00B861D3" w:rsidRDefault="00BE5FE7">
      <w:pPr>
        <w:spacing w:after="240"/>
        <w:rPr>
          <w:rFonts w:ascii="Arial" w:hAnsi="Arial" w:cs="Arial"/>
          <w:b/>
        </w:rPr>
      </w:pPr>
      <w:r w:rsidRPr="00B861D3">
        <w:rPr>
          <w:rFonts w:ascii="Arial" w:hAnsi="Arial" w:cs="Arial"/>
          <w:b/>
        </w:rPr>
        <w:t>About us</w:t>
      </w:r>
    </w:p>
    <w:p w:rsidR="00AB0DCB" w:rsidRPr="00B861D3" w:rsidRDefault="00BE5FE7" w:rsidP="00BE5FE7">
      <w:pPr>
        <w:spacing w:after="240"/>
        <w:rPr>
          <w:rFonts w:ascii="Arial" w:hAnsi="Arial" w:cs="Arial"/>
        </w:rPr>
      </w:pPr>
      <w:r w:rsidRPr="00B861D3">
        <w:rPr>
          <w:rFonts w:ascii="Arial" w:hAnsi="Arial" w:cs="Arial"/>
        </w:rPr>
        <w:t>Forager Funds Management Pty Ltd is an Australian-base</w:t>
      </w:r>
      <w:r w:rsidR="00DD47DB" w:rsidRPr="00B861D3">
        <w:rPr>
          <w:rFonts w:ascii="Arial" w:hAnsi="Arial" w:cs="Arial"/>
        </w:rPr>
        <w:t>d investment manager that was</w:t>
      </w:r>
      <w:r w:rsidRPr="00B861D3">
        <w:rPr>
          <w:rFonts w:ascii="Arial" w:hAnsi="Arial" w:cs="Arial"/>
        </w:rPr>
        <w:t xml:space="preserve"> established in 2009.</w:t>
      </w:r>
    </w:p>
    <w:p w:rsidR="00DD47DB" w:rsidRPr="00B861D3" w:rsidRDefault="00DD47DB" w:rsidP="00BE5FE7">
      <w:pPr>
        <w:spacing w:after="240"/>
        <w:rPr>
          <w:rFonts w:ascii="Arial" w:hAnsi="Arial" w:cs="Arial"/>
        </w:rPr>
      </w:pPr>
      <w:proofErr w:type="spellStart"/>
      <w:r w:rsidRPr="00B861D3">
        <w:rPr>
          <w:rFonts w:ascii="Arial" w:hAnsi="Arial" w:cs="Arial"/>
        </w:rPr>
        <w:t>Fundhost</w:t>
      </w:r>
      <w:proofErr w:type="spellEnd"/>
      <w:r w:rsidRPr="00B861D3">
        <w:rPr>
          <w:rFonts w:ascii="Arial" w:hAnsi="Arial" w:cs="Arial"/>
        </w:rPr>
        <w:t xml:space="preserve"> is the responsible entity, and provides some compliance, reporting and administration services to Forager. </w:t>
      </w:r>
      <w:proofErr w:type="spellStart"/>
      <w:r w:rsidRPr="00B861D3">
        <w:rPr>
          <w:rFonts w:ascii="Arial" w:hAnsi="Arial" w:cs="Arial"/>
        </w:rPr>
        <w:t>Fundhost</w:t>
      </w:r>
      <w:proofErr w:type="spellEnd"/>
      <w:r w:rsidRPr="00B861D3">
        <w:rPr>
          <w:rFonts w:ascii="Arial" w:hAnsi="Arial" w:cs="Arial"/>
        </w:rPr>
        <w:t xml:space="preserve"> has appointed Forager as</w:t>
      </w:r>
      <w:r w:rsidR="00B7679E" w:rsidRPr="00B861D3">
        <w:rPr>
          <w:rFonts w:ascii="Arial" w:hAnsi="Arial" w:cs="Arial"/>
        </w:rPr>
        <w:t xml:space="preserve"> the</w:t>
      </w:r>
      <w:r w:rsidRPr="00B861D3">
        <w:rPr>
          <w:rFonts w:ascii="Arial" w:hAnsi="Arial" w:cs="Arial"/>
        </w:rPr>
        <w:t xml:space="preserve"> investment manager </w:t>
      </w:r>
      <w:r w:rsidR="00B7679E" w:rsidRPr="00B861D3">
        <w:rPr>
          <w:rFonts w:ascii="Arial" w:hAnsi="Arial" w:cs="Arial"/>
        </w:rPr>
        <w:t xml:space="preserve">of </w:t>
      </w:r>
      <w:r w:rsidR="00457611">
        <w:rPr>
          <w:rFonts w:ascii="Arial" w:hAnsi="Arial" w:cs="Arial"/>
        </w:rPr>
        <w:t xml:space="preserve">two </w:t>
      </w:r>
      <w:r w:rsidR="00B861D3">
        <w:rPr>
          <w:rFonts w:ascii="Arial" w:hAnsi="Arial" w:cs="Arial"/>
        </w:rPr>
        <w:t>funds</w:t>
      </w:r>
      <w:r w:rsidR="00457611">
        <w:rPr>
          <w:rFonts w:ascii="Arial" w:hAnsi="Arial" w:cs="Arial"/>
        </w:rPr>
        <w:t xml:space="preserve"> offered to retail investors</w:t>
      </w:r>
      <w:r w:rsidR="00B861D3">
        <w:rPr>
          <w:rFonts w:ascii="Arial" w:hAnsi="Arial" w:cs="Arial"/>
        </w:rPr>
        <w:t>, the Forager Australian</w:t>
      </w:r>
      <w:r w:rsidR="00E677D3">
        <w:rPr>
          <w:rFonts w:ascii="Arial" w:hAnsi="Arial" w:cs="Arial"/>
        </w:rPr>
        <w:t xml:space="preserve"> Shares</w:t>
      </w:r>
      <w:r w:rsidR="00B861D3">
        <w:rPr>
          <w:rFonts w:ascii="Arial" w:hAnsi="Arial" w:cs="Arial"/>
        </w:rPr>
        <w:t xml:space="preserve"> Fund and the Forager International </w:t>
      </w:r>
      <w:r w:rsidR="00E677D3">
        <w:rPr>
          <w:rFonts w:ascii="Arial" w:hAnsi="Arial" w:cs="Arial"/>
        </w:rPr>
        <w:t xml:space="preserve">Shares </w:t>
      </w:r>
      <w:bookmarkStart w:id="0" w:name="_GoBack"/>
      <w:bookmarkEnd w:id="0"/>
      <w:r w:rsidR="00B861D3">
        <w:rPr>
          <w:rFonts w:ascii="Arial" w:hAnsi="Arial" w:cs="Arial"/>
        </w:rPr>
        <w:t>Fund.</w:t>
      </w:r>
    </w:p>
    <w:p w:rsidR="00BE5FE7" w:rsidRPr="00B861D3" w:rsidRDefault="00B7679E" w:rsidP="00BE5FE7">
      <w:pPr>
        <w:spacing w:after="240"/>
        <w:rPr>
          <w:rFonts w:ascii="Arial" w:hAnsi="Arial" w:cs="Arial"/>
        </w:rPr>
      </w:pPr>
      <w:r w:rsidRPr="00B861D3">
        <w:rPr>
          <w:rFonts w:ascii="Arial" w:hAnsi="Arial" w:cs="Arial"/>
        </w:rPr>
        <w:t xml:space="preserve">Forager </w:t>
      </w:r>
      <w:r w:rsidR="00D24F44" w:rsidRPr="00B861D3">
        <w:rPr>
          <w:rFonts w:ascii="Arial" w:hAnsi="Arial" w:cs="Arial"/>
        </w:rPr>
        <w:t>acts for itself. It is not an authorised</w:t>
      </w:r>
      <w:r w:rsidR="00BE5FE7" w:rsidRPr="00B861D3">
        <w:rPr>
          <w:rFonts w:ascii="Arial" w:hAnsi="Arial" w:cs="Arial"/>
        </w:rPr>
        <w:t xml:space="preserve"> representative </w:t>
      </w:r>
      <w:r w:rsidR="00D24F44" w:rsidRPr="00B861D3">
        <w:rPr>
          <w:rFonts w:ascii="Arial" w:hAnsi="Arial" w:cs="Arial"/>
        </w:rPr>
        <w:t>of any other licensee</w:t>
      </w:r>
      <w:r w:rsidR="00BE5FE7" w:rsidRPr="00B861D3">
        <w:rPr>
          <w:rFonts w:ascii="Arial" w:hAnsi="Arial" w:cs="Arial"/>
        </w:rPr>
        <w:t>.</w:t>
      </w:r>
    </w:p>
    <w:p w:rsidR="00802703" w:rsidRPr="00B861D3" w:rsidRDefault="00512A1C">
      <w:pPr>
        <w:spacing w:after="240"/>
        <w:rPr>
          <w:rFonts w:ascii="Arial" w:hAnsi="Arial" w:cs="Arial"/>
          <w:b/>
        </w:rPr>
      </w:pPr>
      <w:r w:rsidRPr="00B861D3">
        <w:rPr>
          <w:rFonts w:ascii="Arial" w:hAnsi="Arial" w:cs="Arial"/>
          <w:b/>
        </w:rPr>
        <w:t>Contact us</w:t>
      </w:r>
    </w:p>
    <w:p w:rsidR="009D1629" w:rsidRPr="00B861D3" w:rsidRDefault="00512A1C" w:rsidP="00512A1C">
      <w:pPr>
        <w:rPr>
          <w:rFonts w:ascii="Arial" w:hAnsi="Arial" w:cs="Arial"/>
        </w:rPr>
      </w:pPr>
      <w:r w:rsidRPr="00B861D3">
        <w:rPr>
          <w:rFonts w:ascii="Arial" w:hAnsi="Arial" w:cs="Arial"/>
          <w:i/>
        </w:rPr>
        <w:t>Forager Funds Management</w:t>
      </w:r>
    </w:p>
    <w:p w:rsidR="00802703" w:rsidRPr="00B861D3" w:rsidRDefault="00B43DC7" w:rsidP="00512A1C">
      <w:pPr>
        <w:rPr>
          <w:rFonts w:ascii="Arial" w:hAnsi="Arial" w:cs="Arial"/>
        </w:rPr>
      </w:pPr>
      <w:r w:rsidRPr="00B861D3">
        <w:rPr>
          <w:rFonts w:ascii="Arial" w:hAnsi="Arial" w:cs="Arial"/>
        </w:rPr>
        <w:t>(</w:t>
      </w:r>
      <w:proofErr w:type="gramStart"/>
      <w:r w:rsidRPr="00B861D3">
        <w:rPr>
          <w:rFonts w:ascii="Arial" w:hAnsi="Arial" w:cs="Arial"/>
        </w:rPr>
        <w:t>for</w:t>
      </w:r>
      <w:proofErr w:type="gramEnd"/>
      <w:r w:rsidRPr="00B861D3">
        <w:rPr>
          <w:rFonts w:ascii="Arial" w:hAnsi="Arial" w:cs="Arial"/>
        </w:rPr>
        <w:t xml:space="preserve"> queries about</w:t>
      </w:r>
      <w:r w:rsidR="009D1629" w:rsidRPr="00B861D3">
        <w:rPr>
          <w:rFonts w:ascii="Arial" w:hAnsi="Arial" w:cs="Arial"/>
        </w:rPr>
        <w:t xml:space="preserve"> the investment approach or how the fund</w:t>
      </w:r>
      <w:r w:rsidR="006F3501" w:rsidRPr="00B861D3">
        <w:rPr>
          <w:rFonts w:ascii="Arial" w:hAnsi="Arial" w:cs="Arial"/>
        </w:rPr>
        <w:t>s are</w:t>
      </w:r>
      <w:r w:rsidR="009D1629" w:rsidRPr="00B861D3">
        <w:rPr>
          <w:rFonts w:ascii="Arial" w:hAnsi="Arial" w:cs="Arial"/>
        </w:rPr>
        <w:t xml:space="preserve"> managed):</w:t>
      </w:r>
    </w:p>
    <w:p w:rsidR="00F70FD0" w:rsidRPr="00B861D3" w:rsidRDefault="00512A1C" w:rsidP="00F70FD0">
      <w:pPr>
        <w:rPr>
          <w:rFonts w:ascii="Arial" w:hAnsi="Arial" w:cs="Arial"/>
        </w:rPr>
      </w:pPr>
      <w:r w:rsidRPr="00B861D3">
        <w:rPr>
          <w:rFonts w:ascii="Arial" w:hAnsi="Arial" w:cs="Arial"/>
        </w:rPr>
        <w:t>PO Box Q64</w:t>
      </w:r>
    </w:p>
    <w:p w:rsidR="00512A1C" w:rsidRPr="00B861D3" w:rsidRDefault="00512A1C" w:rsidP="00F70FD0">
      <w:pPr>
        <w:rPr>
          <w:rFonts w:ascii="Arial" w:hAnsi="Arial" w:cs="Arial"/>
        </w:rPr>
      </w:pPr>
      <w:r w:rsidRPr="00B861D3">
        <w:rPr>
          <w:rFonts w:ascii="Arial" w:hAnsi="Arial" w:cs="Arial"/>
        </w:rPr>
        <w:t>Queen Victoria Building NSW 1230</w:t>
      </w:r>
    </w:p>
    <w:p w:rsidR="00802703" w:rsidRPr="00B861D3" w:rsidRDefault="0094288A" w:rsidP="00512A1C">
      <w:pPr>
        <w:rPr>
          <w:rFonts w:ascii="Arial" w:hAnsi="Arial" w:cs="Arial"/>
        </w:rPr>
      </w:pPr>
      <w:r w:rsidRPr="00B861D3">
        <w:rPr>
          <w:rFonts w:ascii="Arial" w:hAnsi="Arial" w:cs="Arial"/>
        </w:rPr>
        <w:t xml:space="preserve">Telephone: </w:t>
      </w:r>
      <w:r w:rsidRPr="00B861D3">
        <w:rPr>
          <w:rFonts w:ascii="Arial" w:hAnsi="Arial" w:cs="Arial"/>
        </w:rPr>
        <w:tab/>
        <w:t>+61 2</w:t>
      </w:r>
      <w:r w:rsidR="00802703" w:rsidRPr="00B861D3">
        <w:rPr>
          <w:rFonts w:ascii="Arial" w:hAnsi="Arial" w:cs="Arial"/>
        </w:rPr>
        <w:t xml:space="preserve"> </w:t>
      </w:r>
      <w:r w:rsidR="00763709" w:rsidRPr="00B861D3">
        <w:rPr>
          <w:rFonts w:ascii="Arial" w:hAnsi="Arial" w:cs="Arial"/>
        </w:rPr>
        <w:t>8305</w:t>
      </w:r>
      <w:r w:rsidR="000C513F" w:rsidRPr="00B861D3">
        <w:rPr>
          <w:rFonts w:ascii="Arial" w:hAnsi="Arial" w:cs="Arial"/>
        </w:rPr>
        <w:t xml:space="preserve"> </w:t>
      </w:r>
      <w:r w:rsidR="00512A1C" w:rsidRPr="00B861D3">
        <w:rPr>
          <w:rFonts w:ascii="Arial" w:hAnsi="Arial" w:cs="Arial"/>
        </w:rPr>
        <w:t>6050</w:t>
      </w:r>
    </w:p>
    <w:p w:rsidR="0094288A" w:rsidRPr="00B861D3" w:rsidRDefault="0094288A" w:rsidP="00512A1C">
      <w:pPr>
        <w:rPr>
          <w:rFonts w:ascii="Arial" w:hAnsi="Arial" w:cs="Arial"/>
        </w:rPr>
      </w:pPr>
      <w:r w:rsidRPr="00B861D3">
        <w:rPr>
          <w:rFonts w:ascii="Arial" w:hAnsi="Arial" w:cs="Arial"/>
        </w:rPr>
        <w:t>Website:</w:t>
      </w:r>
      <w:r w:rsidRPr="00B861D3">
        <w:rPr>
          <w:rFonts w:ascii="Arial" w:hAnsi="Arial" w:cs="Arial"/>
        </w:rPr>
        <w:tab/>
        <w:t>www.foragerfunds.com</w:t>
      </w:r>
    </w:p>
    <w:p w:rsidR="00802703" w:rsidRPr="00B861D3" w:rsidRDefault="00802703">
      <w:pPr>
        <w:rPr>
          <w:rFonts w:ascii="Arial" w:hAnsi="Arial" w:cs="Arial"/>
        </w:rPr>
      </w:pPr>
      <w:r w:rsidRPr="00B861D3">
        <w:rPr>
          <w:rFonts w:ascii="Arial" w:hAnsi="Arial" w:cs="Arial"/>
        </w:rPr>
        <w:t>Email:</w:t>
      </w:r>
      <w:r w:rsidRPr="00B861D3">
        <w:rPr>
          <w:rFonts w:ascii="Arial" w:hAnsi="Arial" w:cs="Arial"/>
        </w:rPr>
        <w:tab/>
      </w:r>
      <w:r w:rsidRPr="00B861D3">
        <w:rPr>
          <w:rFonts w:ascii="Arial" w:hAnsi="Arial" w:cs="Arial"/>
        </w:rPr>
        <w:tab/>
      </w:r>
      <w:r w:rsidR="0094288A" w:rsidRPr="00B861D3">
        <w:rPr>
          <w:rFonts w:ascii="Arial" w:hAnsi="Arial" w:cs="Arial"/>
        </w:rPr>
        <w:t>admin@foragerfunds.com</w:t>
      </w:r>
    </w:p>
    <w:p w:rsidR="00802703" w:rsidRPr="00B861D3" w:rsidRDefault="00802703">
      <w:pPr>
        <w:rPr>
          <w:rFonts w:ascii="Arial" w:hAnsi="Arial" w:cs="Arial"/>
        </w:rPr>
      </w:pPr>
    </w:p>
    <w:p w:rsidR="00095125" w:rsidRPr="00B861D3" w:rsidRDefault="00512A1C" w:rsidP="00512A1C">
      <w:pPr>
        <w:rPr>
          <w:rFonts w:ascii="Arial" w:hAnsi="Arial" w:cs="Arial"/>
        </w:rPr>
      </w:pPr>
      <w:proofErr w:type="spellStart"/>
      <w:r w:rsidRPr="00B861D3">
        <w:rPr>
          <w:rFonts w:ascii="Arial" w:hAnsi="Arial" w:cs="Arial"/>
          <w:i/>
        </w:rPr>
        <w:t>Fundhost</w:t>
      </w:r>
      <w:proofErr w:type="spellEnd"/>
    </w:p>
    <w:p w:rsidR="00512A1C" w:rsidRPr="00B861D3" w:rsidRDefault="009D1629" w:rsidP="00512A1C">
      <w:pPr>
        <w:rPr>
          <w:rFonts w:ascii="Arial" w:hAnsi="Arial" w:cs="Arial"/>
        </w:rPr>
      </w:pPr>
      <w:r w:rsidRPr="00B861D3">
        <w:rPr>
          <w:rFonts w:ascii="Arial" w:hAnsi="Arial" w:cs="Arial"/>
        </w:rPr>
        <w:lastRenderedPageBreak/>
        <w:t>(</w:t>
      </w:r>
      <w:proofErr w:type="gramStart"/>
      <w:r w:rsidRPr="00B861D3">
        <w:rPr>
          <w:rFonts w:ascii="Arial" w:hAnsi="Arial" w:cs="Arial"/>
        </w:rPr>
        <w:t>for</w:t>
      </w:r>
      <w:proofErr w:type="gramEnd"/>
      <w:r w:rsidRPr="00B861D3">
        <w:rPr>
          <w:rFonts w:ascii="Arial" w:hAnsi="Arial" w:cs="Arial"/>
        </w:rPr>
        <w:t xml:space="preserve"> queries about </w:t>
      </w:r>
      <w:r w:rsidR="00095125" w:rsidRPr="00B861D3">
        <w:rPr>
          <w:rFonts w:ascii="Arial" w:hAnsi="Arial" w:cs="Arial"/>
        </w:rPr>
        <w:t xml:space="preserve">your investment in the funds, including </w:t>
      </w:r>
      <w:r w:rsidR="00D24F44" w:rsidRPr="00B861D3">
        <w:rPr>
          <w:rFonts w:ascii="Arial" w:hAnsi="Arial" w:cs="Arial"/>
        </w:rPr>
        <w:t>new investments,</w:t>
      </w:r>
      <w:r w:rsidR="00095125" w:rsidRPr="00B861D3">
        <w:rPr>
          <w:rFonts w:ascii="Arial" w:hAnsi="Arial" w:cs="Arial"/>
        </w:rPr>
        <w:t xml:space="preserve"> redemption</w:t>
      </w:r>
      <w:r w:rsidR="00B43DC7" w:rsidRPr="00B861D3">
        <w:rPr>
          <w:rFonts w:ascii="Arial" w:hAnsi="Arial" w:cs="Arial"/>
        </w:rPr>
        <w:t>s</w:t>
      </w:r>
      <w:r w:rsidR="00D24F44" w:rsidRPr="00B861D3">
        <w:rPr>
          <w:rFonts w:ascii="Arial" w:hAnsi="Arial" w:cs="Arial"/>
        </w:rPr>
        <w:t xml:space="preserve"> or unit prices</w:t>
      </w:r>
      <w:r w:rsidR="00095125" w:rsidRPr="00B861D3">
        <w:rPr>
          <w:rFonts w:ascii="Arial" w:hAnsi="Arial" w:cs="Arial"/>
        </w:rPr>
        <w:t>)</w:t>
      </w:r>
      <w:r w:rsidR="00B861D3">
        <w:rPr>
          <w:rFonts w:ascii="Arial" w:hAnsi="Arial" w:cs="Arial"/>
        </w:rPr>
        <w:t>:</w:t>
      </w:r>
    </w:p>
    <w:p w:rsidR="00512A1C" w:rsidRPr="00B861D3" w:rsidRDefault="0094288A" w:rsidP="0094288A">
      <w:pPr>
        <w:rPr>
          <w:rFonts w:ascii="Arial" w:hAnsi="Arial" w:cs="Arial"/>
        </w:rPr>
      </w:pPr>
      <w:r w:rsidRPr="00B861D3">
        <w:rPr>
          <w:rFonts w:ascii="Arial" w:hAnsi="Arial" w:cs="Arial"/>
        </w:rPr>
        <w:t>PO Box N561</w:t>
      </w:r>
    </w:p>
    <w:p w:rsidR="0094288A" w:rsidRPr="00B861D3" w:rsidRDefault="00E677D3" w:rsidP="0094288A">
      <w:pPr>
        <w:rPr>
          <w:rFonts w:ascii="Arial" w:hAnsi="Arial" w:cs="Arial"/>
        </w:rPr>
      </w:pPr>
      <w:r>
        <w:rPr>
          <w:rFonts w:ascii="Arial" w:hAnsi="Arial" w:cs="Arial"/>
        </w:rPr>
        <w:t>Grosvenor Place NSW 1220</w:t>
      </w:r>
    </w:p>
    <w:p w:rsidR="0094288A" w:rsidRPr="00B861D3" w:rsidRDefault="0094288A" w:rsidP="0094288A">
      <w:pPr>
        <w:rPr>
          <w:rFonts w:ascii="Arial" w:hAnsi="Arial" w:cs="Arial"/>
        </w:rPr>
      </w:pPr>
      <w:r w:rsidRPr="00B861D3">
        <w:rPr>
          <w:rFonts w:ascii="Arial" w:hAnsi="Arial" w:cs="Arial"/>
        </w:rPr>
        <w:t xml:space="preserve">Telephone: </w:t>
      </w:r>
      <w:r w:rsidRPr="00B861D3">
        <w:rPr>
          <w:rFonts w:ascii="Arial" w:hAnsi="Arial" w:cs="Arial"/>
        </w:rPr>
        <w:tab/>
        <w:t>+61 2 8223 5400</w:t>
      </w:r>
    </w:p>
    <w:p w:rsidR="0094288A" w:rsidRPr="00B861D3" w:rsidRDefault="0094288A" w:rsidP="0094288A">
      <w:pPr>
        <w:rPr>
          <w:rFonts w:ascii="Arial" w:hAnsi="Arial" w:cs="Arial"/>
        </w:rPr>
      </w:pPr>
      <w:r w:rsidRPr="00B861D3">
        <w:rPr>
          <w:rFonts w:ascii="Arial" w:hAnsi="Arial" w:cs="Arial"/>
        </w:rPr>
        <w:t>Website:</w:t>
      </w:r>
      <w:r w:rsidRPr="00B861D3">
        <w:rPr>
          <w:rFonts w:ascii="Arial" w:hAnsi="Arial" w:cs="Arial"/>
        </w:rPr>
        <w:tab/>
        <w:t>www.fundhost.com.au</w:t>
      </w:r>
    </w:p>
    <w:p w:rsidR="0094288A" w:rsidRPr="00B861D3" w:rsidRDefault="0094288A" w:rsidP="0094288A">
      <w:pPr>
        <w:rPr>
          <w:rFonts w:ascii="Arial" w:hAnsi="Arial" w:cs="Arial"/>
        </w:rPr>
      </w:pPr>
      <w:r w:rsidRPr="00B861D3">
        <w:rPr>
          <w:rFonts w:ascii="Arial" w:hAnsi="Arial" w:cs="Arial"/>
        </w:rPr>
        <w:t>Email:</w:t>
      </w:r>
      <w:r w:rsidRPr="00B861D3">
        <w:rPr>
          <w:rFonts w:ascii="Arial" w:hAnsi="Arial" w:cs="Arial"/>
        </w:rPr>
        <w:tab/>
      </w:r>
      <w:r w:rsidRPr="00B861D3">
        <w:rPr>
          <w:rFonts w:ascii="Arial" w:hAnsi="Arial" w:cs="Arial"/>
        </w:rPr>
        <w:tab/>
        <w:t>admin@fundhost.com.au</w:t>
      </w:r>
    </w:p>
    <w:p w:rsidR="00D24F44" w:rsidRPr="00B861D3" w:rsidRDefault="00D24F44">
      <w:pPr>
        <w:spacing w:after="240"/>
        <w:rPr>
          <w:rFonts w:ascii="Arial" w:hAnsi="Arial" w:cs="Arial"/>
          <w:b/>
        </w:rPr>
      </w:pPr>
    </w:p>
    <w:p w:rsidR="00802703" w:rsidRPr="00B861D3" w:rsidRDefault="0094288A">
      <w:pPr>
        <w:spacing w:after="240"/>
        <w:rPr>
          <w:rFonts w:ascii="Arial" w:hAnsi="Arial" w:cs="Arial"/>
          <w:b/>
        </w:rPr>
      </w:pPr>
      <w:r w:rsidRPr="00B861D3">
        <w:rPr>
          <w:rFonts w:ascii="Arial" w:hAnsi="Arial" w:cs="Arial"/>
          <w:b/>
        </w:rPr>
        <w:t>Our financial services and financial products</w:t>
      </w:r>
    </w:p>
    <w:p w:rsidR="00A81C51" w:rsidRPr="00B861D3" w:rsidRDefault="00493AC5">
      <w:pPr>
        <w:spacing w:after="240"/>
        <w:rPr>
          <w:rFonts w:ascii="Arial" w:hAnsi="Arial" w:cs="Arial"/>
        </w:rPr>
      </w:pPr>
      <w:r w:rsidRPr="00B861D3">
        <w:rPr>
          <w:rFonts w:ascii="Arial" w:hAnsi="Arial" w:cs="Arial"/>
        </w:rPr>
        <w:t>Forager Funds Management</w:t>
      </w:r>
      <w:r w:rsidR="00802703" w:rsidRPr="00B861D3">
        <w:rPr>
          <w:rFonts w:ascii="Arial" w:hAnsi="Arial" w:cs="Arial"/>
        </w:rPr>
        <w:t xml:space="preserve"> Pty Ltd is </w:t>
      </w:r>
      <w:r w:rsidRPr="00B861D3">
        <w:rPr>
          <w:rFonts w:ascii="Arial" w:hAnsi="Arial" w:cs="Arial"/>
        </w:rPr>
        <w:t>authorised to provide general financial product advice, and to deal on behalf of another, for the following classes of financial products</w:t>
      </w:r>
      <w:r w:rsidR="00802703" w:rsidRPr="00B861D3">
        <w:rPr>
          <w:rFonts w:ascii="Arial" w:hAnsi="Arial" w:cs="Arial"/>
        </w:rPr>
        <w:t>:</w:t>
      </w:r>
    </w:p>
    <w:p w:rsidR="00493AC5" w:rsidRPr="00B861D3" w:rsidRDefault="00493AC5" w:rsidP="00493AC5">
      <w:pPr>
        <w:pStyle w:val="ListParagraph"/>
        <w:numPr>
          <w:ilvl w:val="0"/>
          <w:numId w:val="11"/>
        </w:numPr>
        <w:spacing w:after="240"/>
        <w:rPr>
          <w:rFonts w:ascii="Arial" w:hAnsi="Arial" w:cs="Arial"/>
        </w:rPr>
      </w:pPr>
      <w:r w:rsidRPr="00B861D3">
        <w:rPr>
          <w:rFonts w:ascii="Arial" w:hAnsi="Arial" w:cs="Arial"/>
        </w:rPr>
        <w:t>Basic deposit products;</w:t>
      </w:r>
    </w:p>
    <w:p w:rsidR="00493AC5" w:rsidRPr="00B861D3" w:rsidRDefault="00493AC5" w:rsidP="00493AC5">
      <w:pPr>
        <w:pStyle w:val="ListParagraph"/>
        <w:numPr>
          <w:ilvl w:val="0"/>
          <w:numId w:val="11"/>
        </w:numPr>
        <w:spacing w:after="240"/>
        <w:rPr>
          <w:rFonts w:ascii="Arial" w:hAnsi="Arial" w:cs="Arial"/>
        </w:rPr>
      </w:pPr>
      <w:r w:rsidRPr="00B861D3">
        <w:rPr>
          <w:rFonts w:ascii="Arial" w:hAnsi="Arial" w:cs="Arial"/>
        </w:rPr>
        <w:t>Foreign exchange contracts;</w:t>
      </w:r>
    </w:p>
    <w:p w:rsidR="00493AC5" w:rsidRPr="00B861D3" w:rsidRDefault="00493AC5" w:rsidP="00493AC5">
      <w:pPr>
        <w:pStyle w:val="ListParagraph"/>
        <w:numPr>
          <w:ilvl w:val="0"/>
          <w:numId w:val="11"/>
        </w:numPr>
        <w:spacing w:after="240"/>
        <w:rPr>
          <w:rFonts w:ascii="Arial" w:hAnsi="Arial" w:cs="Arial"/>
        </w:rPr>
      </w:pPr>
      <w:r w:rsidRPr="00B861D3">
        <w:rPr>
          <w:rFonts w:ascii="Arial" w:hAnsi="Arial" w:cs="Arial"/>
        </w:rPr>
        <w:t>Managed investment schemes, excluding investor directed portfolio services; and</w:t>
      </w:r>
    </w:p>
    <w:p w:rsidR="00493AC5" w:rsidRPr="00B861D3" w:rsidRDefault="00493AC5" w:rsidP="00493AC5">
      <w:pPr>
        <w:pStyle w:val="ListParagraph"/>
        <w:numPr>
          <w:ilvl w:val="0"/>
          <w:numId w:val="11"/>
        </w:numPr>
        <w:spacing w:after="240"/>
        <w:rPr>
          <w:rFonts w:ascii="Arial" w:hAnsi="Arial" w:cs="Arial"/>
        </w:rPr>
      </w:pPr>
      <w:r w:rsidRPr="00B861D3">
        <w:rPr>
          <w:rFonts w:ascii="Arial" w:hAnsi="Arial" w:cs="Arial"/>
        </w:rPr>
        <w:t>Securities.</w:t>
      </w:r>
    </w:p>
    <w:p w:rsidR="00802703" w:rsidRPr="00B861D3" w:rsidRDefault="00AC44D5" w:rsidP="00CE006D">
      <w:pPr>
        <w:pStyle w:val="Default"/>
        <w:rPr>
          <w:rFonts w:ascii="Arial" w:hAnsi="Arial" w:cs="Arial"/>
        </w:rPr>
      </w:pPr>
      <w:r w:rsidRPr="00B861D3">
        <w:rPr>
          <w:rFonts w:ascii="Arial" w:hAnsi="Arial" w:cs="Arial"/>
        </w:rPr>
        <w:t>We are authorised to provide these financial services to retail and wholesale clients.</w:t>
      </w:r>
      <w:r w:rsidR="006F3EA9" w:rsidRPr="00B861D3">
        <w:rPr>
          <w:rFonts w:ascii="Arial" w:hAnsi="Arial" w:cs="Arial"/>
        </w:rPr>
        <w:t xml:space="preserve"> As we provide general advice only</w:t>
      </w:r>
      <w:r w:rsidR="009D1629" w:rsidRPr="00B861D3">
        <w:rPr>
          <w:rFonts w:ascii="Arial" w:hAnsi="Arial" w:cs="Arial"/>
        </w:rPr>
        <w:t xml:space="preserve"> we do not have knowledge of your objectives, financial situation or needs. You</w:t>
      </w:r>
      <w:r w:rsidR="00B43DC7" w:rsidRPr="00B861D3">
        <w:rPr>
          <w:rFonts w:ascii="Arial" w:hAnsi="Arial" w:cs="Arial"/>
        </w:rPr>
        <w:t xml:space="preserve"> may</w:t>
      </w:r>
      <w:r w:rsidR="009D1629" w:rsidRPr="00B861D3">
        <w:rPr>
          <w:rFonts w:ascii="Arial" w:hAnsi="Arial" w:cs="Arial"/>
        </w:rPr>
        <w:t xml:space="preserve"> </w:t>
      </w:r>
      <w:r w:rsidR="006F3EA9" w:rsidRPr="00B861D3">
        <w:rPr>
          <w:rFonts w:ascii="Arial" w:hAnsi="Arial" w:cs="Arial"/>
        </w:rPr>
        <w:t xml:space="preserve">wish to consult a </w:t>
      </w:r>
      <w:r w:rsidR="006E000F" w:rsidRPr="00B861D3">
        <w:rPr>
          <w:rFonts w:ascii="Arial" w:hAnsi="Arial" w:cs="Arial"/>
        </w:rPr>
        <w:t xml:space="preserve">licensed </w:t>
      </w:r>
      <w:r w:rsidR="00391EEB" w:rsidRPr="00B861D3">
        <w:rPr>
          <w:rFonts w:ascii="Arial" w:hAnsi="Arial" w:cs="Arial"/>
        </w:rPr>
        <w:t>financial advisor</w:t>
      </w:r>
      <w:r w:rsidR="006F3EA9" w:rsidRPr="00B861D3">
        <w:rPr>
          <w:rFonts w:ascii="Arial" w:hAnsi="Arial" w:cs="Arial"/>
        </w:rPr>
        <w:t>, who will help you assess whether our products are suitable for you.</w:t>
      </w:r>
    </w:p>
    <w:p w:rsidR="00493AC5" w:rsidRPr="00B861D3" w:rsidRDefault="00493AC5">
      <w:pPr>
        <w:spacing w:after="240"/>
        <w:rPr>
          <w:rFonts w:ascii="Arial" w:hAnsi="Arial" w:cs="Arial"/>
        </w:rPr>
      </w:pPr>
    </w:p>
    <w:p w:rsidR="009B6DB9" w:rsidRPr="00B861D3" w:rsidRDefault="006F3EA9">
      <w:pPr>
        <w:spacing w:after="240"/>
        <w:rPr>
          <w:rFonts w:ascii="Arial" w:hAnsi="Arial" w:cs="Arial"/>
          <w:b/>
        </w:rPr>
      </w:pPr>
      <w:r w:rsidRPr="00B861D3">
        <w:rPr>
          <w:rFonts w:ascii="Arial" w:hAnsi="Arial" w:cs="Arial"/>
          <w:b/>
        </w:rPr>
        <w:t>Product Disclosure Statement (PDS)</w:t>
      </w:r>
    </w:p>
    <w:p w:rsidR="006F3EA9" w:rsidRPr="00B861D3" w:rsidRDefault="006F3EA9">
      <w:pPr>
        <w:spacing w:after="240"/>
        <w:rPr>
          <w:rFonts w:ascii="Arial" w:hAnsi="Arial" w:cs="Arial"/>
        </w:rPr>
      </w:pPr>
      <w:r w:rsidRPr="00B861D3">
        <w:rPr>
          <w:rFonts w:ascii="Arial" w:hAnsi="Arial" w:cs="Arial"/>
        </w:rPr>
        <w:t xml:space="preserve">Before you can invest in one of our retail financial products, we are required to provide you with a Product Disclosure Statement (PDS). The PDS contains important information about the features, benefits, risks and fees applicable to that product. You should read it carefully to enable you to make an informed decision about whether to invest, consulting a </w:t>
      </w:r>
      <w:r w:rsidR="00391EEB" w:rsidRPr="00B861D3">
        <w:rPr>
          <w:rFonts w:ascii="Arial" w:hAnsi="Arial" w:cs="Arial"/>
        </w:rPr>
        <w:t>financial adviso</w:t>
      </w:r>
      <w:r w:rsidRPr="00B861D3">
        <w:rPr>
          <w:rFonts w:ascii="Arial" w:hAnsi="Arial" w:cs="Arial"/>
        </w:rPr>
        <w:t xml:space="preserve">r if necessary. </w:t>
      </w:r>
    </w:p>
    <w:p w:rsidR="006F3EA9" w:rsidRPr="00B861D3" w:rsidRDefault="006F3EA9">
      <w:pPr>
        <w:spacing w:after="240"/>
        <w:rPr>
          <w:rFonts w:ascii="Arial" w:hAnsi="Arial" w:cs="Arial"/>
          <w:b/>
        </w:rPr>
      </w:pPr>
      <w:r w:rsidRPr="00B861D3">
        <w:rPr>
          <w:rFonts w:ascii="Arial" w:hAnsi="Arial" w:cs="Arial"/>
          <w:b/>
        </w:rPr>
        <w:t>Statement of Advice (SOA)</w:t>
      </w:r>
    </w:p>
    <w:p w:rsidR="006F3EA9" w:rsidRPr="00B861D3" w:rsidRDefault="006F3EA9">
      <w:pPr>
        <w:spacing w:after="240"/>
        <w:rPr>
          <w:rFonts w:ascii="Arial" w:hAnsi="Arial" w:cs="Arial"/>
        </w:rPr>
      </w:pPr>
      <w:r w:rsidRPr="00B861D3">
        <w:rPr>
          <w:rFonts w:ascii="Arial" w:hAnsi="Arial" w:cs="Arial"/>
        </w:rPr>
        <w:t xml:space="preserve">A Statement of Advice will normally be given to you when you are provided with personal advice, which takes into account your objectives, financial situation and needs. We do </w:t>
      </w:r>
      <w:r w:rsidR="00426961" w:rsidRPr="00B861D3">
        <w:rPr>
          <w:rFonts w:ascii="Arial" w:hAnsi="Arial" w:cs="Arial"/>
        </w:rPr>
        <w:t>not pro</w:t>
      </w:r>
      <w:r w:rsidR="00391EEB" w:rsidRPr="00B861D3">
        <w:rPr>
          <w:rFonts w:ascii="Arial" w:hAnsi="Arial" w:cs="Arial"/>
        </w:rPr>
        <w:t>vide personal advice so y</w:t>
      </w:r>
      <w:r w:rsidR="00426961" w:rsidRPr="00B861D3">
        <w:rPr>
          <w:rFonts w:ascii="Arial" w:hAnsi="Arial" w:cs="Arial"/>
        </w:rPr>
        <w:t>ou will not receive an SOA from us</w:t>
      </w:r>
      <w:r w:rsidR="00391EEB" w:rsidRPr="00B861D3">
        <w:rPr>
          <w:rFonts w:ascii="Arial" w:hAnsi="Arial" w:cs="Arial"/>
        </w:rPr>
        <w:t>, but you may receive one from your financial</w:t>
      </w:r>
      <w:r w:rsidR="00426961" w:rsidRPr="00B861D3">
        <w:rPr>
          <w:rFonts w:ascii="Arial" w:hAnsi="Arial" w:cs="Arial"/>
        </w:rPr>
        <w:t xml:space="preserve"> advisor.</w:t>
      </w:r>
    </w:p>
    <w:p w:rsidR="006F3EA9" w:rsidRPr="00B861D3" w:rsidRDefault="00816053">
      <w:pPr>
        <w:spacing w:after="240"/>
        <w:rPr>
          <w:rFonts w:ascii="Arial" w:hAnsi="Arial" w:cs="Arial"/>
          <w:b/>
        </w:rPr>
      </w:pPr>
      <w:r w:rsidRPr="00B861D3">
        <w:rPr>
          <w:rFonts w:ascii="Arial" w:hAnsi="Arial" w:cs="Arial"/>
          <w:b/>
        </w:rPr>
        <w:t>Record keeping</w:t>
      </w:r>
    </w:p>
    <w:p w:rsidR="006F3EA9" w:rsidRPr="00B861D3" w:rsidRDefault="00816053">
      <w:pPr>
        <w:spacing w:after="240"/>
        <w:rPr>
          <w:rFonts w:ascii="Arial" w:hAnsi="Arial" w:cs="Arial"/>
        </w:rPr>
      </w:pPr>
      <w:proofErr w:type="spellStart"/>
      <w:r w:rsidRPr="00B861D3">
        <w:rPr>
          <w:rFonts w:ascii="Arial" w:hAnsi="Arial" w:cs="Arial"/>
        </w:rPr>
        <w:t>Fundhost</w:t>
      </w:r>
      <w:proofErr w:type="spellEnd"/>
      <w:r w:rsidRPr="00B861D3">
        <w:rPr>
          <w:rFonts w:ascii="Arial" w:hAnsi="Arial" w:cs="Arial"/>
        </w:rPr>
        <w:t xml:space="preserve"> will seek to ensure </w:t>
      </w:r>
      <w:r w:rsidR="00243480" w:rsidRPr="00B861D3">
        <w:rPr>
          <w:rFonts w:ascii="Arial" w:hAnsi="Arial" w:cs="Arial"/>
        </w:rPr>
        <w:t>that comprehensive and accurate records of all transactions and investments undertaken, and documentation executed, are properly maintained.</w:t>
      </w:r>
    </w:p>
    <w:p w:rsidR="00802703" w:rsidRPr="00B861D3" w:rsidRDefault="00391EEB">
      <w:pPr>
        <w:spacing w:after="120"/>
        <w:rPr>
          <w:rFonts w:ascii="Arial" w:hAnsi="Arial" w:cs="Arial"/>
          <w:b/>
        </w:rPr>
      </w:pPr>
      <w:r w:rsidRPr="00B861D3">
        <w:rPr>
          <w:rFonts w:ascii="Arial" w:hAnsi="Arial" w:cs="Arial"/>
          <w:b/>
        </w:rPr>
        <w:t>Remuneration or other benefits received by us</w:t>
      </w:r>
    </w:p>
    <w:p w:rsidR="004B0384" w:rsidRPr="00B861D3" w:rsidRDefault="00862608">
      <w:pPr>
        <w:spacing w:after="120"/>
        <w:rPr>
          <w:rFonts w:ascii="Arial" w:hAnsi="Arial" w:cs="Arial"/>
        </w:rPr>
      </w:pPr>
      <w:r w:rsidRPr="00B861D3">
        <w:rPr>
          <w:rFonts w:ascii="Arial" w:hAnsi="Arial" w:cs="Arial"/>
        </w:rPr>
        <w:lastRenderedPageBreak/>
        <w:t>If you invest in a financial product we provide, we will receive remuneration in re</w:t>
      </w:r>
      <w:r w:rsidR="00002FBB" w:rsidRPr="00B861D3">
        <w:rPr>
          <w:rFonts w:ascii="Arial" w:hAnsi="Arial" w:cs="Arial"/>
        </w:rPr>
        <w:t>lation to your investment.</w:t>
      </w:r>
    </w:p>
    <w:p w:rsidR="00D17F1F" w:rsidRDefault="00002FBB">
      <w:pPr>
        <w:spacing w:after="120"/>
        <w:rPr>
          <w:rFonts w:ascii="Arial" w:hAnsi="Arial" w:cs="Arial"/>
        </w:rPr>
      </w:pPr>
      <w:r w:rsidRPr="00B861D3">
        <w:rPr>
          <w:rFonts w:ascii="Arial" w:hAnsi="Arial" w:cs="Arial"/>
        </w:rPr>
        <w:t>This remuneration</w:t>
      </w:r>
      <w:r w:rsidR="00E2559E" w:rsidRPr="00B861D3">
        <w:rPr>
          <w:rFonts w:ascii="Arial" w:hAnsi="Arial" w:cs="Arial"/>
        </w:rPr>
        <w:t xml:space="preserve"> may include</w:t>
      </w:r>
      <w:r w:rsidRPr="00B861D3">
        <w:rPr>
          <w:rFonts w:ascii="Arial" w:hAnsi="Arial" w:cs="Arial"/>
        </w:rPr>
        <w:t xml:space="preserve"> management fees, expense recoveries and performance fees. </w:t>
      </w:r>
      <w:r w:rsidR="00D17F1F" w:rsidRPr="00B861D3">
        <w:rPr>
          <w:rFonts w:ascii="Arial" w:hAnsi="Arial" w:cs="Arial"/>
        </w:rPr>
        <w:t>Management fees and expense recoveries are charged as a percentage of the net asset value of the fund you invest in. Performa</w:t>
      </w:r>
      <w:r w:rsidR="00D17F1F">
        <w:rPr>
          <w:rFonts w:ascii="Arial" w:hAnsi="Arial" w:cs="Arial"/>
        </w:rPr>
        <w:t>nce fees are payable only if</w:t>
      </w:r>
      <w:r w:rsidR="00D17F1F" w:rsidRPr="00B861D3">
        <w:rPr>
          <w:rFonts w:ascii="Arial" w:hAnsi="Arial" w:cs="Arial"/>
        </w:rPr>
        <w:t xml:space="preserve"> fu</w:t>
      </w:r>
      <w:r w:rsidR="00D17F1F">
        <w:rPr>
          <w:rFonts w:ascii="Arial" w:hAnsi="Arial" w:cs="Arial"/>
        </w:rPr>
        <w:t>nd performance exceeds a</w:t>
      </w:r>
      <w:r w:rsidR="00D17F1F" w:rsidRPr="00B861D3">
        <w:rPr>
          <w:rFonts w:ascii="Arial" w:hAnsi="Arial" w:cs="Arial"/>
        </w:rPr>
        <w:t xml:space="preserve"> benchmark.</w:t>
      </w:r>
    </w:p>
    <w:p w:rsidR="00B861D3" w:rsidRDefault="00D17F1F">
      <w:pPr>
        <w:spacing w:after="120"/>
        <w:rPr>
          <w:rFonts w:ascii="Arial" w:hAnsi="Arial" w:cs="Arial"/>
        </w:rPr>
      </w:pPr>
      <w:r>
        <w:rPr>
          <w:rFonts w:ascii="Arial" w:hAnsi="Arial" w:cs="Arial"/>
        </w:rPr>
        <w:t>Details of</w:t>
      </w:r>
      <w:r w:rsidR="00B861D3">
        <w:rPr>
          <w:rFonts w:ascii="Arial" w:hAnsi="Arial" w:cs="Arial"/>
        </w:rPr>
        <w:t xml:space="preserve"> fees are as follows, with more information available in each financial product’s PDS:</w:t>
      </w:r>
    </w:p>
    <w:p w:rsidR="00B861D3" w:rsidRDefault="00B861D3">
      <w:pPr>
        <w:spacing w:after="120"/>
        <w:rPr>
          <w:rFonts w:ascii="Arial" w:hAnsi="Arial" w:cs="Arial"/>
        </w:rPr>
      </w:pPr>
    </w:p>
    <w:tbl>
      <w:tblPr>
        <w:tblStyle w:val="TableGrid"/>
        <w:tblW w:w="0" w:type="auto"/>
        <w:tblLook w:val="04A0" w:firstRow="1" w:lastRow="0" w:firstColumn="1" w:lastColumn="0" w:noHBand="0" w:noVBand="1"/>
      </w:tblPr>
      <w:tblGrid>
        <w:gridCol w:w="2880"/>
        <w:gridCol w:w="2876"/>
        <w:gridCol w:w="2880"/>
      </w:tblGrid>
      <w:tr w:rsidR="00B861D3" w:rsidTr="00B861D3">
        <w:tc>
          <w:tcPr>
            <w:tcW w:w="2954" w:type="dxa"/>
          </w:tcPr>
          <w:p w:rsidR="00B861D3" w:rsidRPr="00D17F1F" w:rsidRDefault="00B861D3">
            <w:pPr>
              <w:spacing w:after="120"/>
              <w:rPr>
                <w:rFonts w:ascii="Arial" w:hAnsi="Arial" w:cs="Arial"/>
                <w:sz w:val="20"/>
                <w:szCs w:val="20"/>
              </w:rPr>
            </w:pPr>
          </w:p>
        </w:tc>
        <w:tc>
          <w:tcPr>
            <w:tcW w:w="2954" w:type="dxa"/>
          </w:tcPr>
          <w:p w:rsidR="00B861D3" w:rsidRPr="00D17F1F" w:rsidRDefault="00B861D3">
            <w:pPr>
              <w:spacing w:after="120"/>
              <w:rPr>
                <w:rFonts w:ascii="Arial" w:hAnsi="Arial" w:cs="Arial"/>
                <w:b/>
                <w:sz w:val="20"/>
                <w:szCs w:val="20"/>
              </w:rPr>
            </w:pPr>
            <w:r w:rsidRPr="00D17F1F">
              <w:rPr>
                <w:rFonts w:ascii="Arial" w:hAnsi="Arial" w:cs="Arial"/>
                <w:b/>
                <w:sz w:val="20"/>
                <w:szCs w:val="20"/>
              </w:rPr>
              <w:t>Forager Australian Fund</w:t>
            </w:r>
          </w:p>
        </w:tc>
        <w:tc>
          <w:tcPr>
            <w:tcW w:w="2954" w:type="dxa"/>
          </w:tcPr>
          <w:p w:rsidR="00B861D3" w:rsidRPr="00D17F1F" w:rsidRDefault="00B861D3">
            <w:pPr>
              <w:spacing w:after="120"/>
              <w:rPr>
                <w:rFonts w:ascii="Arial" w:hAnsi="Arial" w:cs="Arial"/>
                <w:b/>
                <w:sz w:val="20"/>
                <w:szCs w:val="20"/>
              </w:rPr>
            </w:pPr>
            <w:r w:rsidRPr="00D17F1F">
              <w:rPr>
                <w:rFonts w:ascii="Arial" w:hAnsi="Arial" w:cs="Arial"/>
                <w:b/>
                <w:sz w:val="20"/>
                <w:szCs w:val="20"/>
              </w:rPr>
              <w:t>Forager International Fund</w:t>
            </w:r>
          </w:p>
        </w:tc>
      </w:tr>
      <w:tr w:rsidR="00D17F1F" w:rsidTr="00B861D3">
        <w:tc>
          <w:tcPr>
            <w:tcW w:w="2954" w:type="dxa"/>
          </w:tcPr>
          <w:p w:rsidR="00D17F1F" w:rsidRPr="00D17F1F" w:rsidRDefault="00D17F1F">
            <w:pPr>
              <w:spacing w:after="120"/>
              <w:rPr>
                <w:rFonts w:ascii="Arial" w:hAnsi="Arial" w:cs="Arial"/>
                <w:b/>
                <w:sz w:val="20"/>
                <w:szCs w:val="20"/>
              </w:rPr>
            </w:pPr>
            <w:r w:rsidRPr="00D17F1F">
              <w:rPr>
                <w:rFonts w:ascii="Arial" w:hAnsi="Arial" w:cs="Arial"/>
                <w:b/>
                <w:sz w:val="20"/>
                <w:szCs w:val="20"/>
              </w:rPr>
              <w:t>Management fee</w:t>
            </w:r>
          </w:p>
        </w:tc>
        <w:tc>
          <w:tcPr>
            <w:tcW w:w="2954" w:type="dxa"/>
          </w:tcPr>
          <w:p w:rsidR="00D17F1F" w:rsidRPr="00D17F1F" w:rsidRDefault="00D17F1F">
            <w:pPr>
              <w:spacing w:after="120"/>
              <w:rPr>
                <w:rFonts w:ascii="Arial" w:hAnsi="Arial" w:cs="Arial"/>
                <w:sz w:val="20"/>
                <w:szCs w:val="20"/>
              </w:rPr>
            </w:pPr>
            <w:r w:rsidRPr="00D17F1F">
              <w:rPr>
                <w:rFonts w:ascii="Arial" w:hAnsi="Arial" w:cs="Arial"/>
                <w:sz w:val="20"/>
                <w:szCs w:val="20"/>
              </w:rPr>
              <w:t>1</w:t>
            </w:r>
            <w:r>
              <w:rPr>
                <w:rFonts w:ascii="Arial" w:hAnsi="Arial" w:cs="Arial"/>
                <w:sz w:val="20"/>
                <w:szCs w:val="20"/>
              </w:rPr>
              <w:t>.0</w:t>
            </w:r>
            <w:r w:rsidRPr="00D17F1F">
              <w:rPr>
                <w:rFonts w:ascii="Arial" w:hAnsi="Arial" w:cs="Arial"/>
                <w:sz w:val="20"/>
                <w:szCs w:val="20"/>
              </w:rPr>
              <w:t>% p.a. of net assets</w:t>
            </w:r>
          </w:p>
        </w:tc>
        <w:tc>
          <w:tcPr>
            <w:tcW w:w="2954" w:type="dxa"/>
          </w:tcPr>
          <w:p w:rsidR="00D17F1F" w:rsidRPr="00D17F1F" w:rsidRDefault="00D17F1F" w:rsidP="00CA68C9">
            <w:pPr>
              <w:spacing w:after="120"/>
              <w:rPr>
                <w:rFonts w:ascii="Arial" w:hAnsi="Arial" w:cs="Arial"/>
                <w:sz w:val="20"/>
                <w:szCs w:val="20"/>
              </w:rPr>
            </w:pPr>
            <w:r w:rsidRPr="00D17F1F">
              <w:rPr>
                <w:rFonts w:ascii="Arial" w:hAnsi="Arial" w:cs="Arial"/>
                <w:sz w:val="20"/>
                <w:szCs w:val="20"/>
              </w:rPr>
              <w:t>1.4% p.a. of net assets</w:t>
            </w:r>
          </w:p>
        </w:tc>
      </w:tr>
      <w:tr w:rsidR="00D17F1F" w:rsidTr="00B861D3">
        <w:tc>
          <w:tcPr>
            <w:tcW w:w="2954" w:type="dxa"/>
          </w:tcPr>
          <w:p w:rsidR="00D17F1F" w:rsidRPr="00D17F1F" w:rsidRDefault="00D17F1F">
            <w:pPr>
              <w:spacing w:after="120"/>
              <w:rPr>
                <w:rFonts w:ascii="Arial" w:hAnsi="Arial" w:cs="Arial"/>
                <w:b/>
                <w:sz w:val="20"/>
                <w:szCs w:val="20"/>
              </w:rPr>
            </w:pPr>
            <w:r w:rsidRPr="00D17F1F">
              <w:rPr>
                <w:rFonts w:ascii="Arial" w:hAnsi="Arial" w:cs="Arial"/>
                <w:b/>
                <w:sz w:val="20"/>
                <w:szCs w:val="20"/>
              </w:rPr>
              <w:t>Expense recovery</w:t>
            </w:r>
            <w:r w:rsidR="00747231">
              <w:rPr>
                <w:rFonts w:ascii="Arial" w:hAnsi="Arial" w:cs="Arial"/>
                <w:b/>
                <w:sz w:val="20"/>
                <w:szCs w:val="20"/>
              </w:rPr>
              <w:t xml:space="preserve"> fee</w:t>
            </w:r>
          </w:p>
        </w:tc>
        <w:tc>
          <w:tcPr>
            <w:tcW w:w="2954" w:type="dxa"/>
          </w:tcPr>
          <w:p w:rsidR="00D17F1F" w:rsidRPr="00D17F1F" w:rsidRDefault="00D17F1F">
            <w:pPr>
              <w:spacing w:after="120"/>
              <w:rPr>
                <w:rFonts w:ascii="Arial" w:hAnsi="Arial" w:cs="Arial"/>
                <w:sz w:val="20"/>
                <w:szCs w:val="20"/>
              </w:rPr>
            </w:pPr>
            <w:r w:rsidRPr="00D17F1F">
              <w:rPr>
                <w:rFonts w:ascii="Arial" w:hAnsi="Arial" w:cs="Arial"/>
                <w:sz w:val="20"/>
                <w:szCs w:val="20"/>
              </w:rPr>
              <w:t>0.1</w:t>
            </w:r>
            <w:r w:rsidR="00255290">
              <w:rPr>
                <w:rFonts w:ascii="Arial" w:hAnsi="Arial" w:cs="Arial"/>
                <w:sz w:val="20"/>
                <w:szCs w:val="20"/>
              </w:rPr>
              <w:t>0</w:t>
            </w:r>
            <w:r w:rsidRPr="00D17F1F">
              <w:rPr>
                <w:rFonts w:ascii="Arial" w:hAnsi="Arial" w:cs="Arial"/>
                <w:sz w:val="20"/>
                <w:szCs w:val="20"/>
              </w:rPr>
              <w:t>% p.a. of net assets</w:t>
            </w:r>
          </w:p>
        </w:tc>
        <w:tc>
          <w:tcPr>
            <w:tcW w:w="2954" w:type="dxa"/>
          </w:tcPr>
          <w:p w:rsidR="00D17F1F" w:rsidRPr="00D17F1F" w:rsidRDefault="00D17F1F" w:rsidP="00CA68C9">
            <w:pPr>
              <w:spacing w:after="120"/>
              <w:rPr>
                <w:rFonts w:ascii="Arial" w:hAnsi="Arial" w:cs="Arial"/>
                <w:sz w:val="20"/>
                <w:szCs w:val="20"/>
              </w:rPr>
            </w:pPr>
            <w:r w:rsidRPr="00D17F1F">
              <w:rPr>
                <w:rFonts w:ascii="Arial" w:hAnsi="Arial" w:cs="Arial"/>
                <w:sz w:val="20"/>
                <w:szCs w:val="20"/>
              </w:rPr>
              <w:t>0.15% p.a. of net assets</w:t>
            </w:r>
          </w:p>
        </w:tc>
      </w:tr>
      <w:tr w:rsidR="00B861D3" w:rsidTr="00B861D3">
        <w:tc>
          <w:tcPr>
            <w:tcW w:w="2954" w:type="dxa"/>
          </w:tcPr>
          <w:p w:rsidR="00B861D3" w:rsidRPr="00D17F1F" w:rsidRDefault="00D17F1F">
            <w:pPr>
              <w:spacing w:after="120"/>
              <w:rPr>
                <w:rFonts w:ascii="Arial" w:hAnsi="Arial" w:cs="Arial"/>
                <w:b/>
                <w:sz w:val="20"/>
                <w:szCs w:val="20"/>
              </w:rPr>
            </w:pPr>
            <w:r w:rsidRPr="00D17F1F">
              <w:rPr>
                <w:rFonts w:ascii="Arial" w:hAnsi="Arial" w:cs="Arial"/>
                <w:b/>
                <w:sz w:val="20"/>
                <w:szCs w:val="20"/>
              </w:rPr>
              <w:t>Performance fee</w:t>
            </w:r>
          </w:p>
        </w:tc>
        <w:tc>
          <w:tcPr>
            <w:tcW w:w="2954" w:type="dxa"/>
          </w:tcPr>
          <w:p w:rsidR="00B861D3" w:rsidRPr="00D17F1F" w:rsidRDefault="00D17F1F" w:rsidP="00D17F1F">
            <w:pPr>
              <w:spacing w:after="120"/>
              <w:rPr>
                <w:rFonts w:ascii="Arial" w:hAnsi="Arial" w:cs="Arial"/>
                <w:sz w:val="20"/>
                <w:szCs w:val="20"/>
              </w:rPr>
            </w:pPr>
            <w:r>
              <w:rPr>
                <w:rFonts w:ascii="Arial" w:hAnsi="Arial" w:cs="Arial"/>
                <w:sz w:val="20"/>
                <w:szCs w:val="20"/>
              </w:rPr>
              <w:t>10% of the amount by which the Fund’s performance exceeds 8% p.a. before deducting any costs or taxes.</w:t>
            </w:r>
          </w:p>
        </w:tc>
        <w:tc>
          <w:tcPr>
            <w:tcW w:w="2954" w:type="dxa"/>
          </w:tcPr>
          <w:p w:rsidR="00B861D3" w:rsidRPr="00D17F1F" w:rsidRDefault="00D17F1F">
            <w:pPr>
              <w:spacing w:after="120"/>
              <w:rPr>
                <w:rFonts w:ascii="Arial" w:hAnsi="Arial" w:cs="Arial"/>
                <w:sz w:val="20"/>
                <w:szCs w:val="20"/>
              </w:rPr>
            </w:pPr>
            <w:r>
              <w:rPr>
                <w:rFonts w:ascii="Arial" w:hAnsi="Arial" w:cs="Arial"/>
                <w:sz w:val="20"/>
                <w:szCs w:val="20"/>
              </w:rPr>
              <w:t>Nil</w:t>
            </w:r>
          </w:p>
        </w:tc>
      </w:tr>
    </w:tbl>
    <w:p w:rsidR="00B861D3" w:rsidRDefault="00B861D3">
      <w:pPr>
        <w:spacing w:after="120"/>
        <w:rPr>
          <w:rFonts w:ascii="Arial" w:hAnsi="Arial" w:cs="Arial"/>
        </w:rPr>
      </w:pPr>
    </w:p>
    <w:p w:rsidR="00747231" w:rsidRDefault="00D17F1F">
      <w:pPr>
        <w:spacing w:after="120"/>
        <w:rPr>
          <w:rFonts w:ascii="Arial" w:hAnsi="Arial" w:cs="Arial"/>
        </w:rPr>
      </w:pPr>
      <w:r>
        <w:rPr>
          <w:rFonts w:ascii="Arial" w:hAnsi="Arial" w:cs="Arial"/>
        </w:rPr>
        <w:t>Our employees are paid salaries from the fees described above and may receive discretionary bonuses</w:t>
      </w:r>
      <w:r w:rsidR="00747231">
        <w:rPr>
          <w:rFonts w:ascii="Arial" w:hAnsi="Arial" w:cs="Arial"/>
        </w:rPr>
        <w:t xml:space="preserve"> based on individual performance</w:t>
      </w:r>
      <w:r w:rsidR="00FD20E0">
        <w:rPr>
          <w:rFonts w:ascii="Arial" w:hAnsi="Arial" w:cs="Arial"/>
        </w:rPr>
        <w:t xml:space="preserve">. Employees may also own </w:t>
      </w:r>
      <w:r w:rsidR="00747231">
        <w:rPr>
          <w:rFonts w:ascii="Arial" w:hAnsi="Arial" w:cs="Arial"/>
        </w:rPr>
        <w:t>equity in the Forager business.</w:t>
      </w:r>
    </w:p>
    <w:p w:rsidR="00747231" w:rsidRDefault="00747231">
      <w:pPr>
        <w:spacing w:after="120"/>
        <w:rPr>
          <w:rFonts w:ascii="Arial" w:hAnsi="Arial" w:cs="Arial"/>
        </w:rPr>
      </w:pPr>
      <w:r w:rsidRPr="00B861D3">
        <w:rPr>
          <w:rFonts w:ascii="Arial" w:hAnsi="Arial" w:cs="Arial"/>
        </w:rPr>
        <w:t xml:space="preserve">We will not charge you fees for providing </w:t>
      </w:r>
      <w:r w:rsidR="00255290">
        <w:rPr>
          <w:rFonts w:ascii="Arial" w:hAnsi="Arial" w:cs="Arial"/>
        </w:rPr>
        <w:t xml:space="preserve">you </w:t>
      </w:r>
      <w:r w:rsidRPr="00B861D3">
        <w:rPr>
          <w:rFonts w:ascii="Arial" w:hAnsi="Arial" w:cs="Arial"/>
        </w:rPr>
        <w:t>general financial product advice.</w:t>
      </w:r>
    </w:p>
    <w:p w:rsidR="009D1629" w:rsidRPr="00B861D3" w:rsidRDefault="004F6CC9">
      <w:pPr>
        <w:spacing w:after="120"/>
        <w:rPr>
          <w:rFonts w:ascii="Arial" w:hAnsi="Arial" w:cs="Arial"/>
        </w:rPr>
      </w:pPr>
      <w:r w:rsidRPr="00B861D3">
        <w:rPr>
          <w:rFonts w:ascii="Arial" w:hAnsi="Arial" w:cs="Arial"/>
        </w:rPr>
        <w:t>Any financial advisor you consult</w:t>
      </w:r>
      <w:r w:rsidR="009D1629" w:rsidRPr="00B861D3">
        <w:rPr>
          <w:rFonts w:ascii="Arial" w:hAnsi="Arial" w:cs="Arial"/>
        </w:rPr>
        <w:t xml:space="preserve"> may charge you </w:t>
      </w:r>
      <w:r w:rsidR="00B861D3">
        <w:rPr>
          <w:rFonts w:ascii="Arial" w:hAnsi="Arial" w:cs="Arial"/>
        </w:rPr>
        <w:t xml:space="preserve">additional </w:t>
      </w:r>
      <w:r w:rsidR="009D1629" w:rsidRPr="00B861D3">
        <w:rPr>
          <w:rFonts w:ascii="Arial" w:hAnsi="Arial" w:cs="Arial"/>
        </w:rPr>
        <w:t>fees</w:t>
      </w:r>
      <w:r w:rsidR="006A629C">
        <w:rPr>
          <w:rFonts w:ascii="Arial" w:hAnsi="Arial" w:cs="Arial"/>
        </w:rPr>
        <w:t xml:space="preserve"> on top of our fees</w:t>
      </w:r>
      <w:r w:rsidR="009D1629" w:rsidRPr="00B861D3">
        <w:rPr>
          <w:rFonts w:ascii="Arial" w:hAnsi="Arial" w:cs="Arial"/>
        </w:rPr>
        <w:t xml:space="preserve">, which should be disclosed in their SOA. We do not pay commissions to financial </w:t>
      </w:r>
      <w:r w:rsidR="006F3501" w:rsidRPr="00B861D3">
        <w:rPr>
          <w:rFonts w:ascii="Arial" w:hAnsi="Arial" w:cs="Arial"/>
        </w:rPr>
        <w:t>advisors.</w:t>
      </w:r>
    </w:p>
    <w:p w:rsidR="00391EEB" w:rsidRPr="00B861D3" w:rsidRDefault="00391EEB">
      <w:pPr>
        <w:spacing w:after="120"/>
        <w:rPr>
          <w:rFonts w:ascii="Arial" w:hAnsi="Arial" w:cs="Arial"/>
        </w:rPr>
      </w:pPr>
    </w:p>
    <w:p w:rsidR="00802703" w:rsidRPr="00B861D3" w:rsidRDefault="00391EEB">
      <w:pPr>
        <w:spacing w:after="120"/>
        <w:rPr>
          <w:rFonts w:ascii="Arial" w:hAnsi="Arial" w:cs="Arial"/>
          <w:b/>
        </w:rPr>
      </w:pPr>
      <w:r w:rsidRPr="00B861D3">
        <w:rPr>
          <w:rFonts w:ascii="Arial" w:hAnsi="Arial" w:cs="Arial"/>
          <w:b/>
        </w:rPr>
        <w:t>Conflicts of interest</w:t>
      </w:r>
    </w:p>
    <w:p w:rsidR="00587736" w:rsidRPr="00B861D3" w:rsidRDefault="002410B9" w:rsidP="009D1629">
      <w:pPr>
        <w:spacing w:after="120"/>
        <w:rPr>
          <w:rFonts w:ascii="Arial" w:hAnsi="Arial" w:cs="Arial"/>
        </w:rPr>
      </w:pPr>
      <w:r w:rsidRPr="00B861D3">
        <w:rPr>
          <w:rFonts w:ascii="Arial" w:hAnsi="Arial" w:cs="Arial"/>
        </w:rPr>
        <w:t>We do not have any relationships or associations which might influence us in providing you with our financial products and services.</w:t>
      </w:r>
    </w:p>
    <w:p w:rsidR="009D1629" w:rsidRPr="00B861D3" w:rsidRDefault="009D1629" w:rsidP="009D1629">
      <w:pPr>
        <w:spacing w:after="120"/>
        <w:rPr>
          <w:rFonts w:ascii="Arial" w:hAnsi="Arial" w:cs="Arial"/>
        </w:rPr>
      </w:pPr>
    </w:p>
    <w:p w:rsidR="0048563B" w:rsidRPr="00B861D3" w:rsidRDefault="00BC78D9" w:rsidP="0048563B">
      <w:pPr>
        <w:spacing w:after="240"/>
        <w:rPr>
          <w:rFonts w:ascii="Arial" w:hAnsi="Arial" w:cs="Arial"/>
          <w:b/>
        </w:rPr>
      </w:pPr>
      <w:r w:rsidRPr="00B861D3">
        <w:rPr>
          <w:rFonts w:ascii="Arial" w:hAnsi="Arial" w:cs="Arial"/>
          <w:b/>
        </w:rPr>
        <w:t>Professional indemnity insurance</w:t>
      </w:r>
    </w:p>
    <w:p w:rsidR="009D1629" w:rsidRDefault="00BC78D9">
      <w:pPr>
        <w:spacing w:after="240"/>
        <w:rPr>
          <w:rFonts w:ascii="Arial" w:hAnsi="Arial" w:cs="Arial"/>
        </w:rPr>
      </w:pPr>
      <w:r w:rsidRPr="00B861D3">
        <w:rPr>
          <w:rFonts w:ascii="Arial" w:hAnsi="Arial" w:cs="Arial"/>
        </w:rPr>
        <w:t>Forager Funds Management</w:t>
      </w:r>
      <w:r w:rsidR="00255290">
        <w:rPr>
          <w:rFonts w:ascii="Arial" w:hAnsi="Arial" w:cs="Arial"/>
        </w:rPr>
        <w:t xml:space="preserve"> and </w:t>
      </w:r>
      <w:proofErr w:type="spellStart"/>
      <w:r w:rsidR="00255290">
        <w:rPr>
          <w:rFonts w:ascii="Arial" w:hAnsi="Arial" w:cs="Arial"/>
        </w:rPr>
        <w:t>Fundhost</w:t>
      </w:r>
      <w:proofErr w:type="spellEnd"/>
      <w:r w:rsidRPr="00B861D3">
        <w:rPr>
          <w:rFonts w:ascii="Arial" w:hAnsi="Arial" w:cs="Arial"/>
        </w:rPr>
        <w:t xml:space="preserve"> have professional indemnity insurance in place, </w:t>
      </w:r>
      <w:r w:rsidR="00E94305" w:rsidRPr="00B861D3">
        <w:rPr>
          <w:rFonts w:ascii="Arial" w:hAnsi="Arial" w:cs="Arial"/>
        </w:rPr>
        <w:t>in compliance</w:t>
      </w:r>
      <w:r w:rsidR="00E103F0" w:rsidRPr="00B861D3">
        <w:rPr>
          <w:rFonts w:ascii="Arial" w:hAnsi="Arial" w:cs="Arial"/>
        </w:rPr>
        <w:t xml:space="preserve"> with</w:t>
      </w:r>
      <w:r w:rsidR="005A28A0" w:rsidRPr="00B861D3">
        <w:rPr>
          <w:rFonts w:ascii="Arial" w:hAnsi="Arial" w:cs="Arial"/>
        </w:rPr>
        <w:t xml:space="preserve"> </w:t>
      </w:r>
      <w:r w:rsidR="00B55645" w:rsidRPr="00B861D3">
        <w:rPr>
          <w:rFonts w:ascii="Arial" w:hAnsi="Arial" w:cs="Arial"/>
        </w:rPr>
        <w:t>our</w:t>
      </w:r>
      <w:r w:rsidR="00D5034F" w:rsidRPr="00B861D3">
        <w:rPr>
          <w:rFonts w:ascii="Arial" w:hAnsi="Arial" w:cs="Arial"/>
        </w:rPr>
        <w:t xml:space="preserve"> obligations under s.912B of the Corporations Act 2001</w:t>
      </w:r>
      <w:r w:rsidR="00B96747" w:rsidRPr="00B861D3">
        <w:rPr>
          <w:rFonts w:ascii="Arial" w:hAnsi="Arial" w:cs="Arial"/>
        </w:rPr>
        <w:t>.</w:t>
      </w:r>
      <w:r w:rsidRPr="00B861D3">
        <w:rPr>
          <w:rFonts w:ascii="Arial" w:hAnsi="Arial" w:cs="Arial"/>
        </w:rPr>
        <w:t xml:space="preserve"> This insurance covers claims relating to the conduct of both past and present employees.</w:t>
      </w:r>
    </w:p>
    <w:p w:rsidR="00255290" w:rsidRPr="00B861D3" w:rsidRDefault="00255290">
      <w:pPr>
        <w:spacing w:after="240"/>
        <w:rPr>
          <w:rFonts w:ascii="Arial" w:hAnsi="Arial" w:cs="Arial"/>
        </w:rPr>
      </w:pPr>
    </w:p>
    <w:p w:rsidR="00802703" w:rsidRPr="00B861D3" w:rsidRDefault="00041338">
      <w:pPr>
        <w:spacing w:after="240"/>
        <w:rPr>
          <w:rFonts w:ascii="Arial" w:hAnsi="Arial" w:cs="Arial"/>
          <w:b/>
        </w:rPr>
      </w:pPr>
      <w:r w:rsidRPr="00B861D3">
        <w:rPr>
          <w:rFonts w:ascii="Arial" w:hAnsi="Arial" w:cs="Arial"/>
          <w:b/>
        </w:rPr>
        <w:t>Privacy</w:t>
      </w:r>
    </w:p>
    <w:p w:rsidR="00802703" w:rsidRPr="00B861D3" w:rsidRDefault="00904F61">
      <w:pPr>
        <w:spacing w:after="240"/>
        <w:rPr>
          <w:rFonts w:ascii="Arial" w:hAnsi="Arial" w:cs="Arial"/>
        </w:rPr>
      </w:pPr>
      <w:r w:rsidRPr="00B861D3">
        <w:rPr>
          <w:rFonts w:ascii="Arial" w:hAnsi="Arial" w:cs="Arial"/>
        </w:rPr>
        <w:t>Your</w:t>
      </w:r>
      <w:r w:rsidR="00041338" w:rsidRPr="00B861D3">
        <w:rPr>
          <w:rFonts w:ascii="Arial" w:hAnsi="Arial" w:cs="Arial"/>
        </w:rPr>
        <w:t xml:space="preserve"> privacy is important to us</w:t>
      </w:r>
      <w:r w:rsidR="00D60C44" w:rsidRPr="00B861D3">
        <w:rPr>
          <w:rFonts w:ascii="Arial" w:hAnsi="Arial" w:cs="Arial"/>
        </w:rPr>
        <w:t xml:space="preserve"> and </w:t>
      </w:r>
      <w:proofErr w:type="spellStart"/>
      <w:r w:rsidR="00D60C44" w:rsidRPr="00B861D3">
        <w:rPr>
          <w:rFonts w:ascii="Arial" w:hAnsi="Arial" w:cs="Arial"/>
        </w:rPr>
        <w:t>Fundhost</w:t>
      </w:r>
      <w:proofErr w:type="spellEnd"/>
      <w:r w:rsidR="00041338" w:rsidRPr="00B861D3">
        <w:rPr>
          <w:rFonts w:ascii="Arial" w:hAnsi="Arial" w:cs="Arial"/>
        </w:rPr>
        <w:t xml:space="preserve">. A statement explaining your privacy rights and our rights and obligations regarding your personal information is available on our website </w:t>
      </w:r>
      <w:hyperlink r:id="rId8" w:history="1">
        <w:r w:rsidR="00041338" w:rsidRPr="00B861D3">
          <w:rPr>
            <w:rStyle w:val="Hyperlink"/>
            <w:rFonts w:ascii="Arial" w:hAnsi="Arial" w:cs="Arial"/>
          </w:rPr>
          <w:t>www.foragerfunds.com</w:t>
        </w:r>
      </w:hyperlink>
      <w:r w:rsidR="00041338" w:rsidRPr="00B861D3">
        <w:rPr>
          <w:rFonts w:ascii="Arial" w:hAnsi="Arial" w:cs="Arial"/>
        </w:rPr>
        <w:t>.</w:t>
      </w:r>
    </w:p>
    <w:p w:rsidR="00041338" w:rsidRPr="00B861D3" w:rsidRDefault="00041338">
      <w:pPr>
        <w:spacing w:after="240"/>
        <w:rPr>
          <w:rFonts w:ascii="Arial" w:hAnsi="Arial" w:cs="Arial"/>
        </w:rPr>
      </w:pPr>
    </w:p>
    <w:p w:rsidR="00802703" w:rsidRPr="00B861D3" w:rsidRDefault="00041338">
      <w:pPr>
        <w:spacing w:after="240"/>
        <w:rPr>
          <w:rFonts w:ascii="Arial" w:hAnsi="Arial" w:cs="Arial"/>
          <w:b/>
        </w:rPr>
      </w:pPr>
      <w:r w:rsidRPr="00B861D3">
        <w:rPr>
          <w:rFonts w:ascii="Arial" w:hAnsi="Arial" w:cs="Arial"/>
          <w:b/>
        </w:rPr>
        <w:t>Complaints handling</w:t>
      </w:r>
    </w:p>
    <w:p w:rsidR="00802703" w:rsidRPr="00B861D3" w:rsidRDefault="00D60C44" w:rsidP="00D60C44">
      <w:pPr>
        <w:spacing w:after="240"/>
        <w:rPr>
          <w:rFonts w:ascii="Arial" w:hAnsi="Arial" w:cs="Arial"/>
        </w:rPr>
      </w:pPr>
      <w:r w:rsidRPr="00B861D3">
        <w:rPr>
          <w:rFonts w:ascii="Arial" w:hAnsi="Arial" w:cs="Arial"/>
        </w:rPr>
        <w:t xml:space="preserve">We </w:t>
      </w:r>
      <w:r w:rsidR="00B10AF6" w:rsidRPr="00B861D3">
        <w:rPr>
          <w:rFonts w:ascii="Arial" w:hAnsi="Arial" w:cs="Arial"/>
        </w:rPr>
        <w:t>aim to</w:t>
      </w:r>
      <w:r w:rsidRPr="00B861D3">
        <w:rPr>
          <w:rFonts w:ascii="Arial" w:hAnsi="Arial" w:cs="Arial"/>
        </w:rPr>
        <w:t xml:space="preserve"> meet high standards but understand there may be times when you wish to make a complaint. </w:t>
      </w:r>
      <w:r w:rsidR="00DE6FC9">
        <w:rPr>
          <w:rFonts w:ascii="Arial" w:hAnsi="Arial" w:cs="Arial"/>
        </w:rPr>
        <w:t>We have</w:t>
      </w:r>
      <w:r w:rsidRPr="00B861D3">
        <w:rPr>
          <w:rFonts w:ascii="Arial" w:hAnsi="Arial" w:cs="Arial"/>
        </w:rPr>
        <w:t xml:space="preserve"> established procedur</w:t>
      </w:r>
      <w:r w:rsidR="00400857">
        <w:rPr>
          <w:rFonts w:ascii="Arial" w:hAnsi="Arial" w:cs="Arial"/>
        </w:rPr>
        <w:t xml:space="preserve">es for dealing with complaints </w:t>
      </w:r>
      <w:r w:rsidRPr="00B861D3">
        <w:rPr>
          <w:rFonts w:ascii="Arial" w:hAnsi="Arial" w:cs="Arial"/>
        </w:rPr>
        <w:t>as follows:</w:t>
      </w:r>
    </w:p>
    <w:p w:rsidR="007E4D89" w:rsidRDefault="0042662D" w:rsidP="0042662D">
      <w:pPr>
        <w:spacing w:after="240"/>
        <w:rPr>
          <w:rFonts w:ascii="Arial" w:hAnsi="Arial" w:cs="Arial"/>
        </w:rPr>
      </w:pPr>
      <w:r w:rsidRPr="00B861D3">
        <w:rPr>
          <w:rFonts w:ascii="Arial" w:hAnsi="Arial" w:cs="Arial"/>
          <w:i/>
        </w:rPr>
        <w:t>Internal dispute resolution</w:t>
      </w:r>
      <w:r w:rsidR="006F3501" w:rsidRPr="00B861D3">
        <w:rPr>
          <w:rFonts w:ascii="Arial" w:hAnsi="Arial" w:cs="Arial"/>
          <w:i/>
        </w:rPr>
        <w:t xml:space="preserve"> procedure</w:t>
      </w:r>
      <w:r w:rsidRPr="00B861D3">
        <w:rPr>
          <w:rFonts w:ascii="Arial" w:hAnsi="Arial" w:cs="Arial"/>
        </w:rPr>
        <w:t xml:space="preserve">: </w:t>
      </w:r>
      <w:r w:rsidR="00D60C44" w:rsidRPr="00B861D3">
        <w:rPr>
          <w:rFonts w:ascii="Arial" w:hAnsi="Arial" w:cs="Arial"/>
        </w:rPr>
        <w:t xml:space="preserve">Contact </w:t>
      </w:r>
      <w:r w:rsidR="007E4D89">
        <w:rPr>
          <w:rFonts w:ascii="Arial" w:hAnsi="Arial" w:cs="Arial"/>
        </w:rPr>
        <w:t xml:space="preserve">us by your preferred method using the contact details above. </w:t>
      </w:r>
      <w:r w:rsidRPr="00B861D3">
        <w:rPr>
          <w:rFonts w:ascii="Arial" w:hAnsi="Arial" w:cs="Arial"/>
        </w:rPr>
        <w:t>Please provide as much info</w:t>
      </w:r>
      <w:r w:rsidR="007E4D89">
        <w:rPr>
          <w:rFonts w:ascii="Arial" w:hAnsi="Arial" w:cs="Arial"/>
        </w:rPr>
        <w:t xml:space="preserve">rmation as possible and </w:t>
      </w:r>
      <w:r w:rsidRPr="00B861D3">
        <w:rPr>
          <w:rFonts w:ascii="Arial" w:hAnsi="Arial" w:cs="Arial"/>
        </w:rPr>
        <w:t>indic</w:t>
      </w:r>
      <w:r w:rsidR="007E4D89">
        <w:rPr>
          <w:rFonts w:ascii="Arial" w:hAnsi="Arial" w:cs="Arial"/>
        </w:rPr>
        <w:t>ate you are making a complaint.</w:t>
      </w:r>
    </w:p>
    <w:p w:rsidR="00400857" w:rsidRDefault="007E4D89" w:rsidP="0042662D">
      <w:pPr>
        <w:spacing w:after="240"/>
        <w:rPr>
          <w:rFonts w:ascii="Arial" w:hAnsi="Arial" w:cs="Arial"/>
        </w:rPr>
      </w:pPr>
      <w:r>
        <w:rPr>
          <w:rFonts w:ascii="Arial" w:hAnsi="Arial" w:cs="Arial"/>
        </w:rPr>
        <w:t xml:space="preserve">We will assess your complaint and pass it on to our responsible entity </w:t>
      </w:r>
      <w:proofErr w:type="spellStart"/>
      <w:r>
        <w:rPr>
          <w:rFonts w:ascii="Arial" w:hAnsi="Arial" w:cs="Arial"/>
        </w:rPr>
        <w:t>Fundhost</w:t>
      </w:r>
      <w:proofErr w:type="spellEnd"/>
      <w:r>
        <w:rPr>
          <w:rFonts w:ascii="Arial" w:hAnsi="Arial" w:cs="Arial"/>
        </w:rPr>
        <w:t xml:space="preserve"> if it falls within their jurisdict</w:t>
      </w:r>
      <w:r w:rsidR="00400857">
        <w:rPr>
          <w:rFonts w:ascii="Arial" w:hAnsi="Arial" w:cs="Arial"/>
        </w:rPr>
        <w:t xml:space="preserve">ion. Whatever the case, we aim to </w:t>
      </w:r>
      <w:r>
        <w:rPr>
          <w:rFonts w:ascii="Arial" w:hAnsi="Arial" w:cs="Arial"/>
        </w:rPr>
        <w:t xml:space="preserve">keep you informed and resolve your complaint as quickly as possible. The maximum time we or </w:t>
      </w:r>
      <w:proofErr w:type="spellStart"/>
      <w:r>
        <w:rPr>
          <w:rFonts w:ascii="Arial" w:hAnsi="Arial" w:cs="Arial"/>
        </w:rPr>
        <w:t>Fundhost</w:t>
      </w:r>
      <w:proofErr w:type="spellEnd"/>
      <w:r>
        <w:rPr>
          <w:rFonts w:ascii="Arial" w:hAnsi="Arial" w:cs="Arial"/>
        </w:rPr>
        <w:t xml:space="preserve"> will take to resolve your complaint will be 45 days.</w:t>
      </w:r>
      <w:r w:rsidR="00400857">
        <w:rPr>
          <w:rFonts w:ascii="Arial" w:hAnsi="Arial" w:cs="Arial"/>
        </w:rPr>
        <w:t xml:space="preserve"> You may also </w:t>
      </w:r>
      <w:r w:rsidR="005C00E1">
        <w:rPr>
          <w:rFonts w:ascii="Arial" w:hAnsi="Arial" w:cs="Arial"/>
        </w:rPr>
        <w:t xml:space="preserve">complain directly to </w:t>
      </w:r>
      <w:proofErr w:type="spellStart"/>
      <w:r w:rsidR="005C00E1">
        <w:rPr>
          <w:rFonts w:ascii="Arial" w:hAnsi="Arial" w:cs="Arial"/>
        </w:rPr>
        <w:t>Fundhost</w:t>
      </w:r>
      <w:proofErr w:type="spellEnd"/>
      <w:r w:rsidR="005C00E1">
        <w:rPr>
          <w:rFonts w:ascii="Arial" w:hAnsi="Arial" w:cs="Arial"/>
        </w:rPr>
        <w:t xml:space="preserve"> instead if you prefer.</w:t>
      </w:r>
    </w:p>
    <w:p w:rsidR="0042662D" w:rsidRPr="00B861D3" w:rsidRDefault="0042662D" w:rsidP="0042662D">
      <w:pPr>
        <w:spacing w:after="240"/>
        <w:rPr>
          <w:rFonts w:ascii="Arial" w:hAnsi="Arial" w:cs="Arial"/>
        </w:rPr>
      </w:pPr>
      <w:r w:rsidRPr="00B861D3">
        <w:rPr>
          <w:rFonts w:ascii="Arial" w:hAnsi="Arial" w:cs="Arial"/>
          <w:i/>
        </w:rPr>
        <w:t>External dispute resolution</w:t>
      </w:r>
      <w:r w:rsidR="006F3501" w:rsidRPr="00B861D3">
        <w:rPr>
          <w:rFonts w:ascii="Arial" w:hAnsi="Arial" w:cs="Arial"/>
          <w:i/>
        </w:rPr>
        <w:t xml:space="preserve"> procedure</w:t>
      </w:r>
      <w:r w:rsidRPr="00B861D3">
        <w:rPr>
          <w:rFonts w:ascii="Arial" w:hAnsi="Arial" w:cs="Arial"/>
        </w:rPr>
        <w:t xml:space="preserve">: If you are not satisfied with </w:t>
      </w:r>
      <w:r w:rsidR="007E4D89">
        <w:rPr>
          <w:rFonts w:ascii="Arial" w:hAnsi="Arial" w:cs="Arial"/>
        </w:rPr>
        <w:t xml:space="preserve">the response from either Forager or </w:t>
      </w:r>
      <w:proofErr w:type="spellStart"/>
      <w:r w:rsidR="007E4D89">
        <w:rPr>
          <w:rFonts w:ascii="Arial" w:hAnsi="Arial" w:cs="Arial"/>
        </w:rPr>
        <w:t>Fundhost</w:t>
      </w:r>
      <w:proofErr w:type="spellEnd"/>
      <w:r w:rsidRPr="00B861D3">
        <w:rPr>
          <w:rFonts w:ascii="Arial" w:hAnsi="Arial" w:cs="Arial"/>
        </w:rPr>
        <w:t xml:space="preserve">, you can contact the Financial Ombudsman Service (FOS), an independent dispute resolution service of which </w:t>
      </w:r>
      <w:r w:rsidR="007E4D89">
        <w:rPr>
          <w:rFonts w:ascii="Arial" w:hAnsi="Arial" w:cs="Arial"/>
        </w:rPr>
        <w:t xml:space="preserve">we are </w:t>
      </w:r>
      <w:r w:rsidRPr="00B861D3">
        <w:rPr>
          <w:rFonts w:ascii="Arial" w:hAnsi="Arial" w:cs="Arial"/>
        </w:rPr>
        <w:t>member</w:t>
      </w:r>
      <w:r w:rsidR="007E4D89">
        <w:rPr>
          <w:rFonts w:ascii="Arial" w:hAnsi="Arial" w:cs="Arial"/>
        </w:rPr>
        <w:t>s</w:t>
      </w:r>
      <w:r w:rsidRPr="00B861D3">
        <w:rPr>
          <w:rFonts w:ascii="Arial" w:hAnsi="Arial" w:cs="Arial"/>
        </w:rPr>
        <w:t xml:space="preserve">. This service is free to you but you will need to have been through </w:t>
      </w:r>
      <w:r w:rsidR="007E4D89">
        <w:rPr>
          <w:rFonts w:ascii="Arial" w:hAnsi="Arial" w:cs="Arial"/>
        </w:rPr>
        <w:t>our</w:t>
      </w:r>
      <w:r w:rsidRPr="00B861D3">
        <w:rPr>
          <w:rFonts w:ascii="Arial" w:hAnsi="Arial" w:cs="Arial"/>
        </w:rPr>
        <w:t xml:space="preserve"> internal dispute resolution procedure first.</w:t>
      </w:r>
    </w:p>
    <w:p w:rsidR="0042662D" w:rsidRPr="00B861D3" w:rsidRDefault="0042662D" w:rsidP="0042662D">
      <w:pPr>
        <w:spacing w:after="240"/>
        <w:rPr>
          <w:rFonts w:ascii="Arial" w:hAnsi="Arial" w:cs="Arial"/>
        </w:rPr>
      </w:pPr>
      <w:r w:rsidRPr="00B861D3">
        <w:rPr>
          <w:rFonts w:ascii="Arial" w:hAnsi="Arial" w:cs="Arial"/>
        </w:rPr>
        <w:t>FOS’s contact details are:</w:t>
      </w:r>
    </w:p>
    <w:p w:rsidR="0042662D" w:rsidRPr="00B861D3" w:rsidRDefault="0042662D" w:rsidP="0042662D">
      <w:pPr>
        <w:rPr>
          <w:rFonts w:ascii="Arial" w:hAnsi="Arial" w:cs="Arial"/>
        </w:rPr>
      </w:pPr>
      <w:r w:rsidRPr="00B861D3">
        <w:rPr>
          <w:rFonts w:ascii="Arial" w:hAnsi="Arial" w:cs="Arial"/>
        </w:rPr>
        <w:t xml:space="preserve">Telephone: </w:t>
      </w:r>
      <w:r w:rsidR="00255290">
        <w:rPr>
          <w:rFonts w:ascii="Arial" w:hAnsi="Arial" w:cs="Arial"/>
        </w:rPr>
        <w:tab/>
      </w:r>
      <w:r w:rsidRPr="00B861D3">
        <w:rPr>
          <w:rFonts w:ascii="Arial" w:hAnsi="Arial" w:cs="Arial"/>
        </w:rPr>
        <w:t>1300 780 808 (free call)</w:t>
      </w:r>
    </w:p>
    <w:p w:rsidR="00255290" w:rsidRPr="00255290" w:rsidRDefault="0042662D" w:rsidP="0042662D">
      <w:pPr>
        <w:rPr>
          <w:rFonts w:ascii="Arial" w:hAnsi="Arial" w:cs="Arial"/>
          <w:color w:val="0000FF"/>
          <w:u w:val="single"/>
        </w:rPr>
      </w:pPr>
      <w:r w:rsidRPr="00B861D3">
        <w:rPr>
          <w:rFonts w:ascii="Arial" w:hAnsi="Arial" w:cs="Arial"/>
        </w:rPr>
        <w:t xml:space="preserve">Email: </w:t>
      </w:r>
      <w:r w:rsidR="00255290">
        <w:rPr>
          <w:rFonts w:ascii="Arial" w:hAnsi="Arial" w:cs="Arial"/>
        </w:rPr>
        <w:tab/>
      </w:r>
      <w:hyperlink r:id="rId9" w:history="1">
        <w:r w:rsidRPr="00B861D3">
          <w:rPr>
            <w:rStyle w:val="Hyperlink"/>
            <w:rFonts w:ascii="Arial" w:hAnsi="Arial" w:cs="Arial"/>
          </w:rPr>
          <w:t>info@fos.org.au</w:t>
        </w:r>
      </w:hyperlink>
    </w:p>
    <w:p w:rsidR="00255290" w:rsidRDefault="00255290" w:rsidP="0042662D">
      <w:pPr>
        <w:rPr>
          <w:rFonts w:ascii="Arial" w:hAnsi="Arial" w:cs="Arial"/>
        </w:rPr>
      </w:pPr>
      <w:r>
        <w:rPr>
          <w:rFonts w:ascii="Arial" w:hAnsi="Arial" w:cs="Arial"/>
        </w:rPr>
        <w:t>Website:</w:t>
      </w:r>
      <w:r>
        <w:rPr>
          <w:rFonts w:ascii="Arial" w:hAnsi="Arial" w:cs="Arial"/>
        </w:rPr>
        <w:tab/>
      </w:r>
      <w:hyperlink r:id="rId10" w:history="1">
        <w:r w:rsidRPr="001F15A5">
          <w:rPr>
            <w:rStyle w:val="Hyperlink"/>
            <w:rFonts w:ascii="Arial" w:hAnsi="Arial" w:cs="Arial"/>
          </w:rPr>
          <w:t>www.fos.org.au</w:t>
        </w:r>
      </w:hyperlink>
    </w:p>
    <w:p w:rsidR="0042662D" w:rsidRPr="00B861D3" w:rsidRDefault="00255290" w:rsidP="0042662D">
      <w:pPr>
        <w:rPr>
          <w:rFonts w:ascii="Arial" w:hAnsi="Arial" w:cs="Arial"/>
        </w:rPr>
      </w:pPr>
      <w:r>
        <w:rPr>
          <w:rFonts w:ascii="Arial" w:hAnsi="Arial" w:cs="Arial"/>
        </w:rPr>
        <w:t>Mail:</w:t>
      </w:r>
      <w:r>
        <w:rPr>
          <w:rFonts w:ascii="Arial" w:hAnsi="Arial" w:cs="Arial"/>
        </w:rPr>
        <w:tab/>
      </w:r>
      <w:r>
        <w:rPr>
          <w:rFonts w:ascii="Arial" w:hAnsi="Arial" w:cs="Arial"/>
        </w:rPr>
        <w:tab/>
      </w:r>
      <w:r w:rsidR="0042662D" w:rsidRPr="00B861D3">
        <w:rPr>
          <w:rFonts w:ascii="Arial" w:hAnsi="Arial" w:cs="Arial"/>
        </w:rPr>
        <w:t xml:space="preserve">Financial Ombudsman Service, GPO Box 3, Melbourne VIC 3001 </w:t>
      </w:r>
    </w:p>
    <w:sectPr w:rsidR="0042662D" w:rsidRPr="00B861D3" w:rsidSect="005F6CF1">
      <w:headerReference w:type="even" r:id="rId11"/>
      <w:headerReference w:type="default" r:id="rId12"/>
      <w:footerReference w:type="even" r:id="rId13"/>
      <w:footerReference w:type="default" r:id="rId14"/>
      <w:headerReference w:type="first" r:id="rId15"/>
      <w:footerReference w:type="first" r:id="rId16"/>
      <w:pgSz w:w="12240" w:h="15840"/>
      <w:pgMar w:top="1247" w:right="1797" w:bottom="96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3E" w:rsidRDefault="00A34D3E" w:rsidP="00604122">
      <w:r>
        <w:separator/>
      </w:r>
    </w:p>
  </w:endnote>
  <w:endnote w:type="continuationSeparator" w:id="0">
    <w:p w:rsidR="00A34D3E" w:rsidRDefault="00A34D3E" w:rsidP="0060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3E" w:rsidRDefault="00A34D3E" w:rsidP="00604122">
      <w:r>
        <w:separator/>
      </w:r>
    </w:p>
  </w:footnote>
  <w:footnote w:type="continuationSeparator" w:id="0">
    <w:p w:rsidR="00A34D3E" w:rsidRDefault="00A34D3E" w:rsidP="00604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2" w:rsidRDefault="0060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28A"/>
    <w:multiLevelType w:val="hybridMultilevel"/>
    <w:tmpl w:val="5560C286"/>
    <w:lvl w:ilvl="0" w:tplc="7D885F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5688"/>
    <w:multiLevelType w:val="hybridMultilevel"/>
    <w:tmpl w:val="655CF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A16A4"/>
    <w:multiLevelType w:val="hybridMultilevel"/>
    <w:tmpl w:val="DE76F098"/>
    <w:lvl w:ilvl="0" w:tplc="483C737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FA3F27"/>
    <w:multiLevelType w:val="hybridMultilevel"/>
    <w:tmpl w:val="05CE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6678B"/>
    <w:multiLevelType w:val="multilevel"/>
    <w:tmpl w:val="C86EAD0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D04A43"/>
    <w:multiLevelType w:val="hybridMultilevel"/>
    <w:tmpl w:val="48BE315E"/>
    <w:lvl w:ilvl="0" w:tplc="0C7C3B44">
      <w:start w:val="1"/>
      <w:numFmt w:val="decimal"/>
      <w:lvlText w:val="%1."/>
      <w:lvlJc w:val="left"/>
      <w:pPr>
        <w:tabs>
          <w:tab w:val="num" w:pos="720"/>
        </w:tabs>
        <w:ind w:left="720" w:hanging="360"/>
      </w:pPr>
      <w:rPr>
        <w:rFonts w:hint="default"/>
      </w:rPr>
    </w:lvl>
    <w:lvl w:ilvl="1" w:tplc="F626B4EE" w:tentative="1">
      <w:start w:val="1"/>
      <w:numFmt w:val="lowerLetter"/>
      <w:lvlText w:val="%2."/>
      <w:lvlJc w:val="left"/>
      <w:pPr>
        <w:tabs>
          <w:tab w:val="num" w:pos="1440"/>
        </w:tabs>
        <w:ind w:left="1440" w:hanging="360"/>
      </w:pPr>
    </w:lvl>
    <w:lvl w:ilvl="2" w:tplc="9A74EEDA" w:tentative="1">
      <w:start w:val="1"/>
      <w:numFmt w:val="lowerRoman"/>
      <w:lvlText w:val="%3."/>
      <w:lvlJc w:val="right"/>
      <w:pPr>
        <w:tabs>
          <w:tab w:val="num" w:pos="2160"/>
        </w:tabs>
        <w:ind w:left="2160" w:hanging="180"/>
      </w:pPr>
    </w:lvl>
    <w:lvl w:ilvl="3" w:tplc="A48C2F02" w:tentative="1">
      <w:start w:val="1"/>
      <w:numFmt w:val="decimal"/>
      <w:lvlText w:val="%4."/>
      <w:lvlJc w:val="left"/>
      <w:pPr>
        <w:tabs>
          <w:tab w:val="num" w:pos="2880"/>
        </w:tabs>
        <w:ind w:left="2880" w:hanging="360"/>
      </w:pPr>
    </w:lvl>
    <w:lvl w:ilvl="4" w:tplc="C2C47DE2" w:tentative="1">
      <w:start w:val="1"/>
      <w:numFmt w:val="lowerLetter"/>
      <w:lvlText w:val="%5."/>
      <w:lvlJc w:val="left"/>
      <w:pPr>
        <w:tabs>
          <w:tab w:val="num" w:pos="3600"/>
        </w:tabs>
        <w:ind w:left="3600" w:hanging="360"/>
      </w:pPr>
    </w:lvl>
    <w:lvl w:ilvl="5" w:tplc="E2DCD50A" w:tentative="1">
      <w:start w:val="1"/>
      <w:numFmt w:val="lowerRoman"/>
      <w:lvlText w:val="%6."/>
      <w:lvlJc w:val="right"/>
      <w:pPr>
        <w:tabs>
          <w:tab w:val="num" w:pos="4320"/>
        </w:tabs>
        <w:ind w:left="4320" w:hanging="180"/>
      </w:pPr>
    </w:lvl>
    <w:lvl w:ilvl="6" w:tplc="966C5858" w:tentative="1">
      <w:start w:val="1"/>
      <w:numFmt w:val="decimal"/>
      <w:lvlText w:val="%7."/>
      <w:lvlJc w:val="left"/>
      <w:pPr>
        <w:tabs>
          <w:tab w:val="num" w:pos="5040"/>
        </w:tabs>
        <w:ind w:left="5040" w:hanging="360"/>
      </w:pPr>
    </w:lvl>
    <w:lvl w:ilvl="7" w:tplc="9C7498D4" w:tentative="1">
      <w:start w:val="1"/>
      <w:numFmt w:val="lowerLetter"/>
      <w:lvlText w:val="%8."/>
      <w:lvlJc w:val="left"/>
      <w:pPr>
        <w:tabs>
          <w:tab w:val="num" w:pos="5760"/>
        </w:tabs>
        <w:ind w:left="5760" w:hanging="360"/>
      </w:pPr>
    </w:lvl>
    <w:lvl w:ilvl="8" w:tplc="77321DB0" w:tentative="1">
      <w:start w:val="1"/>
      <w:numFmt w:val="lowerRoman"/>
      <w:lvlText w:val="%9."/>
      <w:lvlJc w:val="right"/>
      <w:pPr>
        <w:tabs>
          <w:tab w:val="num" w:pos="6480"/>
        </w:tabs>
        <w:ind w:left="6480" w:hanging="180"/>
      </w:pPr>
    </w:lvl>
  </w:abstractNum>
  <w:abstractNum w:abstractNumId="6" w15:restartNumberingAfterBreak="0">
    <w:nsid w:val="4E9B63C7"/>
    <w:multiLevelType w:val="hybridMultilevel"/>
    <w:tmpl w:val="0CF0938E"/>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4A132BC"/>
    <w:multiLevelType w:val="hybridMultilevel"/>
    <w:tmpl w:val="A8428542"/>
    <w:lvl w:ilvl="0" w:tplc="5F3CE38A">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68D05079"/>
    <w:multiLevelType w:val="hybridMultilevel"/>
    <w:tmpl w:val="058E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22AA6"/>
    <w:multiLevelType w:val="hybridMultilevel"/>
    <w:tmpl w:val="DC66F57C"/>
    <w:lvl w:ilvl="0" w:tplc="3C5E6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CF11B8"/>
    <w:multiLevelType w:val="hybridMultilevel"/>
    <w:tmpl w:val="D1880E44"/>
    <w:lvl w:ilvl="0" w:tplc="1DA0F44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7F8F62C3"/>
    <w:multiLevelType w:val="hybridMultilevel"/>
    <w:tmpl w:val="123E3A00"/>
    <w:lvl w:ilvl="0" w:tplc="F1D620EC">
      <w:start w:val="1"/>
      <w:numFmt w:val="decimal"/>
      <w:lvlText w:val="%1."/>
      <w:lvlJc w:val="left"/>
      <w:pPr>
        <w:tabs>
          <w:tab w:val="num" w:pos="720"/>
        </w:tabs>
        <w:ind w:left="720" w:hanging="360"/>
      </w:pPr>
      <w:rPr>
        <w:rFonts w:hint="default"/>
      </w:rPr>
    </w:lvl>
    <w:lvl w:ilvl="1" w:tplc="5CEAF21C" w:tentative="1">
      <w:start w:val="1"/>
      <w:numFmt w:val="lowerLetter"/>
      <w:lvlText w:val="%2."/>
      <w:lvlJc w:val="left"/>
      <w:pPr>
        <w:tabs>
          <w:tab w:val="num" w:pos="1440"/>
        </w:tabs>
        <w:ind w:left="1440" w:hanging="360"/>
      </w:pPr>
    </w:lvl>
    <w:lvl w:ilvl="2" w:tplc="E4F65B72" w:tentative="1">
      <w:start w:val="1"/>
      <w:numFmt w:val="lowerRoman"/>
      <w:lvlText w:val="%3."/>
      <w:lvlJc w:val="right"/>
      <w:pPr>
        <w:tabs>
          <w:tab w:val="num" w:pos="2160"/>
        </w:tabs>
        <w:ind w:left="2160" w:hanging="180"/>
      </w:pPr>
    </w:lvl>
    <w:lvl w:ilvl="3" w:tplc="7E46AC06" w:tentative="1">
      <w:start w:val="1"/>
      <w:numFmt w:val="decimal"/>
      <w:lvlText w:val="%4."/>
      <w:lvlJc w:val="left"/>
      <w:pPr>
        <w:tabs>
          <w:tab w:val="num" w:pos="2880"/>
        </w:tabs>
        <w:ind w:left="2880" w:hanging="360"/>
      </w:pPr>
    </w:lvl>
    <w:lvl w:ilvl="4" w:tplc="FF90E4D4" w:tentative="1">
      <w:start w:val="1"/>
      <w:numFmt w:val="lowerLetter"/>
      <w:lvlText w:val="%5."/>
      <w:lvlJc w:val="left"/>
      <w:pPr>
        <w:tabs>
          <w:tab w:val="num" w:pos="3600"/>
        </w:tabs>
        <w:ind w:left="3600" w:hanging="360"/>
      </w:pPr>
    </w:lvl>
    <w:lvl w:ilvl="5" w:tplc="56C8ADD2" w:tentative="1">
      <w:start w:val="1"/>
      <w:numFmt w:val="lowerRoman"/>
      <w:lvlText w:val="%6."/>
      <w:lvlJc w:val="right"/>
      <w:pPr>
        <w:tabs>
          <w:tab w:val="num" w:pos="4320"/>
        </w:tabs>
        <w:ind w:left="4320" w:hanging="180"/>
      </w:pPr>
    </w:lvl>
    <w:lvl w:ilvl="6" w:tplc="E6923592" w:tentative="1">
      <w:start w:val="1"/>
      <w:numFmt w:val="decimal"/>
      <w:lvlText w:val="%7."/>
      <w:lvlJc w:val="left"/>
      <w:pPr>
        <w:tabs>
          <w:tab w:val="num" w:pos="5040"/>
        </w:tabs>
        <w:ind w:left="5040" w:hanging="360"/>
      </w:pPr>
    </w:lvl>
    <w:lvl w:ilvl="7" w:tplc="8CE8327E" w:tentative="1">
      <w:start w:val="1"/>
      <w:numFmt w:val="lowerLetter"/>
      <w:lvlText w:val="%8."/>
      <w:lvlJc w:val="left"/>
      <w:pPr>
        <w:tabs>
          <w:tab w:val="num" w:pos="5760"/>
        </w:tabs>
        <w:ind w:left="5760" w:hanging="360"/>
      </w:pPr>
    </w:lvl>
    <w:lvl w:ilvl="8" w:tplc="88547B0E"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num>
  <w:num w:numId="4">
    <w:abstractNumId w:val="4"/>
  </w:num>
  <w:num w:numId="5">
    <w:abstractNumId w:val="9"/>
  </w:num>
  <w:num w:numId="6">
    <w:abstractNumId w:val="0"/>
  </w:num>
  <w:num w:numId="7">
    <w:abstractNumId w:val="10"/>
  </w:num>
  <w:num w:numId="8">
    <w:abstractNumId w:val="7"/>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8E"/>
    <w:rsid w:val="00002FBB"/>
    <w:rsid w:val="00003AFF"/>
    <w:rsid w:val="000119CD"/>
    <w:rsid w:val="00012C00"/>
    <w:rsid w:val="00012DAD"/>
    <w:rsid w:val="00014893"/>
    <w:rsid w:val="000148B4"/>
    <w:rsid w:val="00021601"/>
    <w:rsid w:val="00030E82"/>
    <w:rsid w:val="000310C9"/>
    <w:rsid w:val="00035193"/>
    <w:rsid w:val="00041338"/>
    <w:rsid w:val="00095125"/>
    <w:rsid w:val="00095D7E"/>
    <w:rsid w:val="000970C8"/>
    <w:rsid w:val="000A5A60"/>
    <w:rsid w:val="000B0FBC"/>
    <w:rsid w:val="000B38AC"/>
    <w:rsid w:val="000C513F"/>
    <w:rsid w:val="000D6E29"/>
    <w:rsid w:val="000F50FF"/>
    <w:rsid w:val="000F70B2"/>
    <w:rsid w:val="000F7CF5"/>
    <w:rsid w:val="00115F57"/>
    <w:rsid w:val="0012084A"/>
    <w:rsid w:val="00132BAB"/>
    <w:rsid w:val="0013647E"/>
    <w:rsid w:val="0014398F"/>
    <w:rsid w:val="001816D7"/>
    <w:rsid w:val="00192462"/>
    <w:rsid w:val="00194C09"/>
    <w:rsid w:val="00195D51"/>
    <w:rsid w:val="00196D70"/>
    <w:rsid w:val="001A36FB"/>
    <w:rsid w:val="001A5224"/>
    <w:rsid w:val="001A7630"/>
    <w:rsid w:val="001B34E7"/>
    <w:rsid w:val="001B4A57"/>
    <w:rsid w:val="001B77BA"/>
    <w:rsid w:val="001D6F24"/>
    <w:rsid w:val="001E339E"/>
    <w:rsid w:val="001F5C5B"/>
    <w:rsid w:val="002049C7"/>
    <w:rsid w:val="002171AA"/>
    <w:rsid w:val="0023073B"/>
    <w:rsid w:val="00234252"/>
    <w:rsid w:val="00241015"/>
    <w:rsid w:val="002410B9"/>
    <w:rsid w:val="00242371"/>
    <w:rsid w:val="00243480"/>
    <w:rsid w:val="00255290"/>
    <w:rsid w:val="00261C4B"/>
    <w:rsid w:val="00267EA1"/>
    <w:rsid w:val="0029101A"/>
    <w:rsid w:val="00292DF8"/>
    <w:rsid w:val="002A0149"/>
    <w:rsid w:val="002B4BC2"/>
    <w:rsid w:val="002E1019"/>
    <w:rsid w:val="002F4CD4"/>
    <w:rsid w:val="002F64A0"/>
    <w:rsid w:val="0030361C"/>
    <w:rsid w:val="0030769A"/>
    <w:rsid w:val="00323838"/>
    <w:rsid w:val="00334AD0"/>
    <w:rsid w:val="0036382A"/>
    <w:rsid w:val="0036677D"/>
    <w:rsid w:val="00381B45"/>
    <w:rsid w:val="00391EEB"/>
    <w:rsid w:val="003A0F10"/>
    <w:rsid w:val="003A52B1"/>
    <w:rsid w:val="003C37A6"/>
    <w:rsid w:val="003C5E96"/>
    <w:rsid w:val="003D11CC"/>
    <w:rsid w:val="003D60FF"/>
    <w:rsid w:val="003E53B1"/>
    <w:rsid w:val="003E6D7E"/>
    <w:rsid w:val="00400857"/>
    <w:rsid w:val="00406F49"/>
    <w:rsid w:val="0041480E"/>
    <w:rsid w:val="004153B0"/>
    <w:rsid w:val="00425ED5"/>
    <w:rsid w:val="0042662D"/>
    <w:rsid w:val="00426961"/>
    <w:rsid w:val="00430A8A"/>
    <w:rsid w:val="00454021"/>
    <w:rsid w:val="00457611"/>
    <w:rsid w:val="0046412C"/>
    <w:rsid w:val="0046745D"/>
    <w:rsid w:val="00471DD2"/>
    <w:rsid w:val="0048027B"/>
    <w:rsid w:val="0048563B"/>
    <w:rsid w:val="00493AC5"/>
    <w:rsid w:val="004A4213"/>
    <w:rsid w:val="004B0384"/>
    <w:rsid w:val="004E3019"/>
    <w:rsid w:val="004F2398"/>
    <w:rsid w:val="004F5BBE"/>
    <w:rsid w:val="004F6CC9"/>
    <w:rsid w:val="004F73BD"/>
    <w:rsid w:val="005016DF"/>
    <w:rsid w:val="00502B8D"/>
    <w:rsid w:val="005101F7"/>
    <w:rsid w:val="00512A1C"/>
    <w:rsid w:val="005142F0"/>
    <w:rsid w:val="0052331B"/>
    <w:rsid w:val="005241C9"/>
    <w:rsid w:val="005459FB"/>
    <w:rsid w:val="00551E01"/>
    <w:rsid w:val="00554E46"/>
    <w:rsid w:val="00576B43"/>
    <w:rsid w:val="00587736"/>
    <w:rsid w:val="005A0E3E"/>
    <w:rsid w:val="005A28A0"/>
    <w:rsid w:val="005C00E1"/>
    <w:rsid w:val="005C5BC7"/>
    <w:rsid w:val="005F6CF1"/>
    <w:rsid w:val="00600E0F"/>
    <w:rsid w:val="00604122"/>
    <w:rsid w:val="006137D5"/>
    <w:rsid w:val="00622FF3"/>
    <w:rsid w:val="00632DE1"/>
    <w:rsid w:val="0063717F"/>
    <w:rsid w:val="00684911"/>
    <w:rsid w:val="006873F0"/>
    <w:rsid w:val="006876C9"/>
    <w:rsid w:val="0069182F"/>
    <w:rsid w:val="006A629C"/>
    <w:rsid w:val="006A7212"/>
    <w:rsid w:val="006D70EB"/>
    <w:rsid w:val="006E000F"/>
    <w:rsid w:val="006E7CFC"/>
    <w:rsid w:val="006F3501"/>
    <w:rsid w:val="006F3EA9"/>
    <w:rsid w:val="006F49DD"/>
    <w:rsid w:val="0071585B"/>
    <w:rsid w:val="0072369D"/>
    <w:rsid w:val="00747231"/>
    <w:rsid w:val="007508BE"/>
    <w:rsid w:val="00756CEE"/>
    <w:rsid w:val="00763709"/>
    <w:rsid w:val="0076708F"/>
    <w:rsid w:val="007702F8"/>
    <w:rsid w:val="007711A9"/>
    <w:rsid w:val="00777A42"/>
    <w:rsid w:val="00780F33"/>
    <w:rsid w:val="00790BE0"/>
    <w:rsid w:val="00790E17"/>
    <w:rsid w:val="00797661"/>
    <w:rsid w:val="007A3E6B"/>
    <w:rsid w:val="007C7893"/>
    <w:rsid w:val="007E4D89"/>
    <w:rsid w:val="007E65B8"/>
    <w:rsid w:val="00802703"/>
    <w:rsid w:val="00802D6E"/>
    <w:rsid w:val="00816053"/>
    <w:rsid w:val="00822742"/>
    <w:rsid w:val="008429D1"/>
    <w:rsid w:val="008469C2"/>
    <w:rsid w:val="00847D20"/>
    <w:rsid w:val="008535D6"/>
    <w:rsid w:val="008543C1"/>
    <w:rsid w:val="00862608"/>
    <w:rsid w:val="0087017B"/>
    <w:rsid w:val="00875FA7"/>
    <w:rsid w:val="00880197"/>
    <w:rsid w:val="00881D60"/>
    <w:rsid w:val="00895054"/>
    <w:rsid w:val="008A19E5"/>
    <w:rsid w:val="008D0DC5"/>
    <w:rsid w:val="008F79C1"/>
    <w:rsid w:val="00904F61"/>
    <w:rsid w:val="00910FCD"/>
    <w:rsid w:val="00913BD3"/>
    <w:rsid w:val="00921C7F"/>
    <w:rsid w:val="00936A02"/>
    <w:rsid w:val="0094288A"/>
    <w:rsid w:val="0095244A"/>
    <w:rsid w:val="00952FDA"/>
    <w:rsid w:val="009537C9"/>
    <w:rsid w:val="009750E7"/>
    <w:rsid w:val="00992A71"/>
    <w:rsid w:val="009969A9"/>
    <w:rsid w:val="009A3A91"/>
    <w:rsid w:val="009B6DB9"/>
    <w:rsid w:val="009C2D33"/>
    <w:rsid w:val="009D1629"/>
    <w:rsid w:val="009D42CA"/>
    <w:rsid w:val="009F20E8"/>
    <w:rsid w:val="009F4838"/>
    <w:rsid w:val="00A0709E"/>
    <w:rsid w:val="00A16C8B"/>
    <w:rsid w:val="00A3368C"/>
    <w:rsid w:val="00A34D3E"/>
    <w:rsid w:val="00A47ED9"/>
    <w:rsid w:val="00A56563"/>
    <w:rsid w:val="00A6749A"/>
    <w:rsid w:val="00A70324"/>
    <w:rsid w:val="00A81C51"/>
    <w:rsid w:val="00AB0DCB"/>
    <w:rsid w:val="00AC44D5"/>
    <w:rsid w:val="00AE6DEF"/>
    <w:rsid w:val="00B07362"/>
    <w:rsid w:val="00B10AF6"/>
    <w:rsid w:val="00B17C77"/>
    <w:rsid w:val="00B42933"/>
    <w:rsid w:val="00B43DC7"/>
    <w:rsid w:val="00B46D2B"/>
    <w:rsid w:val="00B55645"/>
    <w:rsid w:val="00B71229"/>
    <w:rsid w:val="00B76217"/>
    <w:rsid w:val="00B7679E"/>
    <w:rsid w:val="00B839F1"/>
    <w:rsid w:val="00B861D3"/>
    <w:rsid w:val="00B96747"/>
    <w:rsid w:val="00BB07B1"/>
    <w:rsid w:val="00BB20E6"/>
    <w:rsid w:val="00BC1F8D"/>
    <w:rsid w:val="00BC78D9"/>
    <w:rsid w:val="00BE50C4"/>
    <w:rsid w:val="00BE5FE7"/>
    <w:rsid w:val="00BF491B"/>
    <w:rsid w:val="00BF5F07"/>
    <w:rsid w:val="00C10081"/>
    <w:rsid w:val="00C15CA4"/>
    <w:rsid w:val="00C3075E"/>
    <w:rsid w:val="00C440A9"/>
    <w:rsid w:val="00C47541"/>
    <w:rsid w:val="00C51790"/>
    <w:rsid w:val="00C525B0"/>
    <w:rsid w:val="00C53AE3"/>
    <w:rsid w:val="00C542E0"/>
    <w:rsid w:val="00C73394"/>
    <w:rsid w:val="00C74968"/>
    <w:rsid w:val="00C75ECB"/>
    <w:rsid w:val="00CA0247"/>
    <w:rsid w:val="00CC468C"/>
    <w:rsid w:val="00CE006D"/>
    <w:rsid w:val="00CE1337"/>
    <w:rsid w:val="00CE32BA"/>
    <w:rsid w:val="00D00019"/>
    <w:rsid w:val="00D122E0"/>
    <w:rsid w:val="00D17F1F"/>
    <w:rsid w:val="00D2119B"/>
    <w:rsid w:val="00D24F44"/>
    <w:rsid w:val="00D25EC5"/>
    <w:rsid w:val="00D37497"/>
    <w:rsid w:val="00D5034F"/>
    <w:rsid w:val="00D60C44"/>
    <w:rsid w:val="00D6236F"/>
    <w:rsid w:val="00D84C5B"/>
    <w:rsid w:val="00D868D1"/>
    <w:rsid w:val="00D93281"/>
    <w:rsid w:val="00DA1354"/>
    <w:rsid w:val="00DA37CD"/>
    <w:rsid w:val="00DA41A7"/>
    <w:rsid w:val="00DC1CEA"/>
    <w:rsid w:val="00DC429F"/>
    <w:rsid w:val="00DD2CF1"/>
    <w:rsid w:val="00DD422F"/>
    <w:rsid w:val="00DD47DB"/>
    <w:rsid w:val="00DE18A6"/>
    <w:rsid w:val="00DE6FC9"/>
    <w:rsid w:val="00DE7EA6"/>
    <w:rsid w:val="00E00B07"/>
    <w:rsid w:val="00E103F0"/>
    <w:rsid w:val="00E2559E"/>
    <w:rsid w:val="00E3421F"/>
    <w:rsid w:val="00E5733B"/>
    <w:rsid w:val="00E677D3"/>
    <w:rsid w:val="00E77D00"/>
    <w:rsid w:val="00E84EEE"/>
    <w:rsid w:val="00E94305"/>
    <w:rsid w:val="00E94A15"/>
    <w:rsid w:val="00EA06C0"/>
    <w:rsid w:val="00EA2AC9"/>
    <w:rsid w:val="00EA6789"/>
    <w:rsid w:val="00EC1292"/>
    <w:rsid w:val="00EC3431"/>
    <w:rsid w:val="00ED2069"/>
    <w:rsid w:val="00ED5DFC"/>
    <w:rsid w:val="00ED6807"/>
    <w:rsid w:val="00EF057D"/>
    <w:rsid w:val="00EF459E"/>
    <w:rsid w:val="00F217E5"/>
    <w:rsid w:val="00F260F8"/>
    <w:rsid w:val="00F275E2"/>
    <w:rsid w:val="00F3763B"/>
    <w:rsid w:val="00F412BE"/>
    <w:rsid w:val="00F4658E"/>
    <w:rsid w:val="00F70FD0"/>
    <w:rsid w:val="00F7565A"/>
    <w:rsid w:val="00F81DD5"/>
    <w:rsid w:val="00FA28FE"/>
    <w:rsid w:val="00FB2CD5"/>
    <w:rsid w:val="00FC4981"/>
    <w:rsid w:val="00FD0194"/>
    <w:rsid w:val="00FD20E0"/>
    <w:rsid w:val="00FD63E5"/>
    <w:rsid w:val="00FD7180"/>
    <w:rsid w:val="00FD75A6"/>
    <w:rsid w:val="00FE512B"/>
    <w:rsid w:val="00FF3C56"/>
    <w:rsid w:val="00FF597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C80964-3DEA-4D77-83B8-178632E4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6CF1"/>
    <w:rPr>
      <w:color w:val="0000FF"/>
      <w:u w:val="single"/>
    </w:rPr>
  </w:style>
  <w:style w:type="paragraph" w:customStyle="1" w:styleId="Default">
    <w:name w:val="Default"/>
    <w:rsid w:val="00E84EEE"/>
    <w:pPr>
      <w:autoSpaceDE w:val="0"/>
      <w:autoSpaceDN w:val="0"/>
      <w:adjustRightInd w:val="0"/>
    </w:pPr>
    <w:rPr>
      <w:rFonts w:ascii="Palatino" w:hAnsi="Palatino" w:cs="Palatino"/>
      <w:color w:val="000000"/>
      <w:sz w:val="24"/>
      <w:szCs w:val="24"/>
    </w:rPr>
  </w:style>
  <w:style w:type="paragraph" w:styleId="ListParagraph">
    <w:name w:val="List Paragraph"/>
    <w:basedOn w:val="Normal"/>
    <w:uiPriority w:val="34"/>
    <w:qFormat/>
    <w:rsid w:val="00E84EEE"/>
    <w:pPr>
      <w:ind w:left="720"/>
      <w:contextualSpacing/>
    </w:pPr>
  </w:style>
  <w:style w:type="paragraph" w:styleId="BalloonText">
    <w:name w:val="Balloon Text"/>
    <w:basedOn w:val="Normal"/>
    <w:link w:val="BalloonTextChar"/>
    <w:rsid w:val="00777A42"/>
    <w:rPr>
      <w:rFonts w:ascii="Tahoma" w:hAnsi="Tahoma" w:cs="Tahoma"/>
      <w:sz w:val="16"/>
      <w:szCs w:val="16"/>
    </w:rPr>
  </w:style>
  <w:style w:type="character" w:customStyle="1" w:styleId="BalloonTextChar">
    <w:name w:val="Balloon Text Char"/>
    <w:basedOn w:val="DefaultParagraphFont"/>
    <w:link w:val="BalloonText"/>
    <w:rsid w:val="00777A42"/>
    <w:rPr>
      <w:rFonts w:ascii="Tahoma" w:hAnsi="Tahoma" w:cs="Tahoma"/>
      <w:sz w:val="16"/>
      <w:szCs w:val="16"/>
      <w:lang w:val="en-US" w:eastAsia="en-US"/>
    </w:rPr>
  </w:style>
  <w:style w:type="paragraph" w:styleId="Header">
    <w:name w:val="header"/>
    <w:basedOn w:val="Normal"/>
    <w:link w:val="HeaderChar"/>
    <w:rsid w:val="00604122"/>
    <w:pPr>
      <w:tabs>
        <w:tab w:val="center" w:pos="4513"/>
        <w:tab w:val="right" w:pos="9026"/>
      </w:tabs>
    </w:pPr>
  </w:style>
  <w:style w:type="character" w:customStyle="1" w:styleId="HeaderChar">
    <w:name w:val="Header Char"/>
    <w:basedOn w:val="DefaultParagraphFont"/>
    <w:link w:val="Header"/>
    <w:rsid w:val="00604122"/>
    <w:rPr>
      <w:sz w:val="24"/>
      <w:szCs w:val="24"/>
      <w:lang w:val="en-US" w:eastAsia="en-US"/>
    </w:rPr>
  </w:style>
  <w:style w:type="paragraph" w:styleId="Footer">
    <w:name w:val="footer"/>
    <w:basedOn w:val="Normal"/>
    <w:link w:val="FooterChar"/>
    <w:rsid w:val="00604122"/>
    <w:pPr>
      <w:tabs>
        <w:tab w:val="center" w:pos="4513"/>
        <w:tab w:val="right" w:pos="9026"/>
      </w:tabs>
    </w:pPr>
  </w:style>
  <w:style w:type="character" w:customStyle="1" w:styleId="FooterChar">
    <w:name w:val="Footer Char"/>
    <w:basedOn w:val="DefaultParagraphFont"/>
    <w:link w:val="Footer"/>
    <w:rsid w:val="00604122"/>
    <w:rPr>
      <w:sz w:val="24"/>
      <w:szCs w:val="24"/>
      <w:lang w:val="en-US" w:eastAsia="en-US"/>
    </w:rPr>
  </w:style>
  <w:style w:type="character" w:styleId="CommentReference">
    <w:name w:val="annotation reference"/>
    <w:basedOn w:val="DefaultParagraphFont"/>
    <w:rsid w:val="00FE512B"/>
    <w:rPr>
      <w:sz w:val="16"/>
      <w:szCs w:val="16"/>
    </w:rPr>
  </w:style>
  <w:style w:type="paragraph" w:styleId="CommentText">
    <w:name w:val="annotation text"/>
    <w:basedOn w:val="Normal"/>
    <w:link w:val="CommentTextChar"/>
    <w:rsid w:val="00FE512B"/>
    <w:rPr>
      <w:sz w:val="20"/>
      <w:szCs w:val="20"/>
    </w:rPr>
  </w:style>
  <w:style w:type="character" w:customStyle="1" w:styleId="CommentTextChar">
    <w:name w:val="Comment Text Char"/>
    <w:basedOn w:val="DefaultParagraphFont"/>
    <w:link w:val="CommentText"/>
    <w:rsid w:val="00FE512B"/>
    <w:rPr>
      <w:lang w:val="en-US" w:eastAsia="en-US"/>
    </w:rPr>
  </w:style>
  <w:style w:type="paragraph" w:styleId="CommentSubject">
    <w:name w:val="annotation subject"/>
    <w:basedOn w:val="CommentText"/>
    <w:next w:val="CommentText"/>
    <w:link w:val="CommentSubjectChar"/>
    <w:rsid w:val="00FE512B"/>
    <w:rPr>
      <w:b/>
      <w:bCs/>
    </w:rPr>
  </w:style>
  <w:style w:type="character" w:customStyle="1" w:styleId="CommentSubjectChar">
    <w:name w:val="Comment Subject Char"/>
    <w:basedOn w:val="CommentTextChar"/>
    <w:link w:val="CommentSubject"/>
    <w:rsid w:val="00FE512B"/>
    <w:rPr>
      <w:b/>
      <w:bCs/>
      <w:lang w:val="en-US" w:eastAsia="en-US"/>
    </w:rPr>
  </w:style>
  <w:style w:type="table" w:styleId="TableGrid">
    <w:name w:val="Table Grid"/>
    <w:basedOn w:val="TableNormal"/>
    <w:rsid w:val="00B8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agerfund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s.org.au" TargetMode="External"/><Relationship Id="rId4" Type="http://schemas.openxmlformats.org/officeDocument/2006/relationships/settings" Target="settings.xml"/><Relationship Id="rId9" Type="http://schemas.openxmlformats.org/officeDocument/2006/relationships/hyperlink" Target="mailto:info@fos.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67B4-9BF6-4058-A8A4-E0530C42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FINANCIAL SERVICES GUIDE</vt:lpstr>
    </vt:vector>
  </TitlesOfParts>
  <Company>Grizli777</Company>
  <LinksUpToDate>false</LinksUpToDate>
  <CharactersWithSpaces>6688</CharactersWithSpaces>
  <SharedDoc>false</SharedDoc>
  <HLinks>
    <vt:vector size="30" baseType="variant">
      <vt:variant>
        <vt:i4>7274535</vt:i4>
      </vt:variant>
      <vt:variant>
        <vt:i4>12</vt:i4>
      </vt:variant>
      <vt:variant>
        <vt:i4>0</vt:i4>
      </vt:variant>
      <vt:variant>
        <vt:i4>5</vt:i4>
      </vt:variant>
      <vt:variant>
        <vt:lpwstr>http://www.intelligentinvestor.com.au/</vt:lpwstr>
      </vt:variant>
      <vt:variant>
        <vt:lpwstr/>
      </vt:variant>
      <vt:variant>
        <vt:i4>7274535</vt:i4>
      </vt:variant>
      <vt:variant>
        <vt:i4>9</vt:i4>
      </vt:variant>
      <vt:variant>
        <vt:i4>0</vt:i4>
      </vt:variant>
      <vt:variant>
        <vt:i4>5</vt:i4>
      </vt:variant>
      <vt:variant>
        <vt:lpwstr>http://www.intelligentinvestor.com.au/</vt:lpwstr>
      </vt:variant>
      <vt:variant>
        <vt:lpwstr/>
      </vt:variant>
      <vt:variant>
        <vt:i4>5898272</vt:i4>
      </vt:variant>
      <vt:variant>
        <vt:i4>6</vt:i4>
      </vt:variant>
      <vt:variant>
        <vt:i4>0</vt:i4>
      </vt:variant>
      <vt:variant>
        <vt:i4>5</vt:i4>
      </vt:variant>
      <vt:variant>
        <vt:lpwstr>mailto:info@intelligentinvestor.com.au</vt:lpwstr>
      </vt:variant>
      <vt:variant>
        <vt:lpwstr/>
      </vt:variant>
      <vt:variant>
        <vt:i4>5570646</vt:i4>
      </vt:variant>
      <vt:variant>
        <vt:i4>3</vt:i4>
      </vt:variant>
      <vt:variant>
        <vt:i4>0</vt:i4>
      </vt:variant>
      <vt:variant>
        <vt:i4>5</vt:i4>
      </vt:variant>
      <vt:variant>
        <vt:lpwstr>http://www.incomeinvestor.com.au/</vt:lpwstr>
      </vt:variant>
      <vt:variant>
        <vt:lpwstr/>
      </vt:variant>
      <vt:variant>
        <vt:i4>7274535</vt:i4>
      </vt:variant>
      <vt:variant>
        <vt:i4>0</vt:i4>
      </vt:variant>
      <vt:variant>
        <vt:i4>0</vt:i4>
      </vt:variant>
      <vt:variant>
        <vt:i4>5</vt:i4>
      </vt:variant>
      <vt:variant>
        <vt:lpwstr>http://www.intelligentinvestor.com.au/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GUIDE</dc:title>
  <dc:creator>James Greenhalgh</dc:creator>
  <cp:lastModifiedBy>Stephen Larkman</cp:lastModifiedBy>
  <cp:revision>2</cp:revision>
  <cp:lastPrinted>2005-02-23T01:30:00Z</cp:lastPrinted>
  <dcterms:created xsi:type="dcterms:W3CDTF">2015-08-19T08:50:00Z</dcterms:created>
  <dcterms:modified xsi:type="dcterms:W3CDTF">2015-08-19T08:50:00Z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aoms S0111467190v2 150220 </vt:lpwstr>
  </property>
  <property fmtid="{D5CDD505-2E9C-101B-9397-08002B2CF9AE}" pid="3" name="DOCSDocNumber">
    <vt:lpwstr>11467190</vt:lpwstr>
  </property>
  <property fmtid="{D5CDD505-2E9C-101B-9397-08002B2CF9AE}" pid="4" name="DOCSDocumentID">
    <vt:lpwstr>S0111467190</vt:lpwstr>
  </property>
  <property fmtid="{D5CDD505-2E9C-101B-9397-08002B2CF9AE}" pid="5" name="DOCSDocName">
    <vt:lpwstr>FSG: Intelligent Investor</vt:lpwstr>
  </property>
  <property fmtid="{D5CDD505-2E9C-101B-9397-08002B2CF9AE}" pid="6" name="DOCSAuthorID">
    <vt:lpwstr>aoms</vt:lpwstr>
  </property>
  <property fmtid="{D5CDD505-2E9C-101B-9397-08002B2CF9AE}" pid="7" name="DOCSAuthorName">
    <vt:lpwstr>Murray, Andrew</vt:lpwstr>
  </property>
  <property fmtid="{D5CDD505-2E9C-101B-9397-08002B2CF9AE}" pid="8" name="DOCSMatterID">
    <vt:lpwstr>150220</vt:lpwstr>
  </property>
  <property fmtid="{D5CDD505-2E9C-101B-9397-08002B2CF9AE}" pid="9" name="DOCSMatterName">
    <vt:lpwstr>Corporate &amp; Commercial - Sydney</vt:lpwstr>
  </property>
  <property fmtid="{D5CDD505-2E9C-101B-9397-08002B2CF9AE}" pid="10" name="DOCSTypistID">
    <vt:lpwstr>aoms</vt:lpwstr>
  </property>
  <property fmtid="{D5CDD505-2E9C-101B-9397-08002B2CF9AE}" pid="11" name="DOCSTypistName">
    <vt:lpwstr>Murray, Andrew</vt:lpwstr>
  </property>
  <property fmtid="{D5CDD505-2E9C-101B-9397-08002B2CF9AE}" pid="12" name="DOCSDocTypeID">
    <vt:lpwstr>Document</vt:lpwstr>
  </property>
  <property fmtid="{D5CDD505-2E9C-101B-9397-08002B2CF9AE}" pid="13" name="DOCSCreationDate">
    <vt:lpwstr>27.01.2005</vt:lpwstr>
  </property>
  <property fmtid="{D5CDD505-2E9C-101B-9397-08002B2CF9AE}" pid="14" name="DOCSLastEditDate">
    <vt:lpwstr>27.01.2005</vt:lpwstr>
  </property>
  <property fmtid="{D5CDD505-2E9C-101B-9397-08002B2CF9AE}" pid="15" name="DOCSClientID">
    <vt:lpwstr/>
  </property>
  <property fmtid="{D5CDD505-2E9C-101B-9397-08002B2CF9AE}" pid="16" name="DOCSClientName">
    <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v2</vt:lpwstr>
  </property>
</Properties>
</file>